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B5547">
      <w:pPr>
        <w:pStyle w:val="4"/>
        <w:widowControl/>
        <w:shd w:val="clear" w:color="auto" w:fill="FFFFFF"/>
        <w:spacing w:before="0" w:beforeAutospacing="0" w:after="0" w:afterAutospacing="0" w:line="360" w:lineRule="auto"/>
        <w:jc w:val="both"/>
        <w:rPr>
          <w:rStyle w:val="7"/>
          <w:rFonts w:hint="eastAsia" w:ascii="宋体" w:hAnsi="宋体" w:eastAsia="宋体"/>
          <w:color w:val="auto"/>
          <w:sz w:val="28"/>
          <w:szCs w:val="28"/>
          <w:highlight w:val="none"/>
          <w:shd w:val="clear" w:color="auto" w:fill="FFFFFF"/>
          <w:lang w:val="en-US" w:eastAsia="zh-CN" w:bidi="ar"/>
        </w:rPr>
      </w:pPr>
      <w:r>
        <w:rPr>
          <w:rStyle w:val="7"/>
          <w:rFonts w:hint="eastAsia" w:ascii="宋体" w:hAnsi="宋体"/>
          <w:color w:val="auto"/>
          <w:sz w:val="28"/>
          <w:szCs w:val="28"/>
          <w:highlight w:val="none"/>
          <w:shd w:val="clear" w:color="auto" w:fill="FFFFFF"/>
          <w:lang w:bidi="ar"/>
        </w:rPr>
        <w:t>附件1</w:t>
      </w:r>
      <w:r>
        <w:rPr>
          <w:rStyle w:val="7"/>
          <w:rFonts w:hint="eastAsia" w:ascii="宋体" w:hAnsi="宋体"/>
          <w:color w:val="auto"/>
          <w:sz w:val="28"/>
          <w:szCs w:val="28"/>
          <w:highlight w:val="none"/>
          <w:shd w:val="clear" w:color="auto" w:fill="FFFFFF"/>
          <w:lang w:val="en-US" w:eastAsia="zh-CN" w:bidi="ar"/>
        </w:rPr>
        <w:t>-采购需求（征求意见稿）</w:t>
      </w:r>
    </w:p>
    <w:p w14:paraId="054EBF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项目概况</w:t>
      </w:r>
    </w:p>
    <w:p w14:paraId="301D2469">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深圳市福田区第二人民医院是深圳市福田区区属二级综合性公立医院,目前由中康院区、龙尾院区及下属社康</w:t>
      </w:r>
      <w:bookmarkStart w:id="1" w:name="_GoBack"/>
      <w:bookmarkEnd w:id="1"/>
      <w:r>
        <w:rPr>
          <w:rFonts w:hint="eastAsia" w:ascii="宋体" w:hAnsi="宋体" w:eastAsia="宋体" w:cs="宋体"/>
          <w:sz w:val="24"/>
          <w:szCs w:val="24"/>
        </w:rPr>
        <w:t>中心组成。中康院区建筑面积约16446㎡、龙尾院区建筑面积约15255㎡，社康中心建筑面积共约</w:t>
      </w:r>
      <w:r>
        <w:rPr>
          <w:rFonts w:hint="eastAsia" w:ascii="宋体" w:hAnsi="宋体" w:eastAsia="宋体" w:cs="宋体"/>
          <w:sz w:val="24"/>
          <w:szCs w:val="24"/>
          <w:lang w:val="en-US" w:eastAsia="zh-CN"/>
        </w:rPr>
        <w:t>15282.66</w:t>
      </w:r>
      <w:r>
        <w:rPr>
          <w:rFonts w:hint="eastAsia" w:ascii="宋体" w:hAnsi="宋体" w:eastAsia="宋体" w:cs="宋体"/>
          <w:sz w:val="24"/>
          <w:szCs w:val="24"/>
        </w:rPr>
        <w:t>㎡、总建筑面积约</w:t>
      </w:r>
      <w:r>
        <w:rPr>
          <w:rFonts w:hint="eastAsia" w:ascii="宋体" w:hAnsi="宋体" w:eastAsia="宋体" w:cs="宋体"/>
          <w:sz w:val="24"/>
          <w:szCs w:val="24"/>
          <w:lang w:val="en-US" w:eastAsia="zh-CN"/>
        </w:rPr>
        <w:t>46983.66</w:t>
      </w:r>
      <w:r>
        <w:rPr>
          <w:rFonts w:hint="eastAsia" w:ascii="宋体" w:hAnsi="宋体" w:eastAsia="宋体" w:cs="宋体"/>
          <w:sz w:val="24"/>
          <w:szCs w:val="24"/>
        </w:rPr>
        <w:t>㎡。</w:t>
      </w:r>
    </w:p>
    <w:p w14:paraId="46AE92F3">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rPr>
        <w:t xml:space="preserve">1.中康院区位于福田区上梅林中康路27号、25号，由内科楼、外科楼、综合楼组成，建筑面积约16446㎡，车位19个，床位300张。 </w:t>
      </w:r>
    </w:p>
    <w:p w14:paraId="18EEC8C6">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内科楼：建筑面积约5964㎡，共7层，1-3楼为收费处、药房、门诊及各临床医技科室；4-7楼为各病区。大楼1-7楼为电子监控区域，有2个疏散通道；另有1间电梯机房、2部电梯；1间消防水泵房、1个消防水池；1个生活水池。</w:t>
      </w:r>
    </w:p>
    <w:p w14:paraId="62A51A13">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外科楼：建筑面积约7777㎡，共7层，1-2楼为收费处、药房、放射科、手术室及重症医学科；3-7楼为各病区。大楼1-7楼为电子监控区域，有3个疏散通道，设有消防视频监控室；另有3间电梯机房、5部电梯；7间强电井、1间高低压配电房、2间变压器房、1间发电机房、1间信息机房、1间消防水泵房、2个消防水池；2个生活水池。</w:t>
      </w:r>
    </w:p>
    <w:p w14:paraId="3F124458">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（3）综合楼：建筑面积约2705㎡，共7层，1楼为各临床科室门诊，2楼为临床科室</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院本部社康</w:t>
      </w:r>
      <w:r>
        <w:rPr>
          <w:rFonts w:hint="eastAsia" w:ascii="宋体" w:hAnsi="宋体" w:eastAsia="宋体" w:cs="宋体"/>
          <w:sz w:val="24"/>
          <w:szCs w:val="24"/>
          <w:lang w:eastAsia="zh-CN"/>
        </w:rPr>
        <w:t>）</w:t>
      </w:r>
      <w:r>
        <w:rPr>
          <w:rFonts w:hint="eastAsia" w:ascii="宋体" w:hAnsi="宋体" w:eastAsia="宋体" w:cs="宋体"/>
          <w:sz w:val="24"/>
          <w:szCs w:val="24"/>
        </w:rPr>
        <w:t>药库、耗材库；3-7楼行政办公区域。1楼、2楼、5楼为电子监控区域，有2个疏散通道。</w:t>
      </w:r>
    </w:p>
    <w:p w14:paraId="3E467CEB">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2.龙尾院区位于深圳市福田区梅林街道龙尾社区梅亭路1号4栋，建筑面积约15255㎡，床位200张，共13层。1楼为收费处、药房、体检科、抢救室；2楼为放射科、检验科；3楼为架空层；4-7楼为食堂及各临床、医技科室</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其中6楼为食堂</w:t>
      </w:r>
      <w:r>
        <w:rPr>
          <w:rFonts w:hint="eastAsia" w:ascii="宋体" w:hAnsi="宋体" w:eastAsia="宋体" w:cs="宋体"/>
          <w:sz w:val="24"/>
          <w:szCs w:val="24"/>
          <w:lang w:eastAsia="zh-CN"/>
        </w:rPr>
        <w:t>）</w:t>
      </w:r>
      <w:r>
        <w:rPr>
          <w:rFonts w:hint="eastAsia" w:ascii="宋体" w:hAnsi="宋体" w:eastAsia="宋体" w:cs="宋体"/>
          <w:sz w:val="24"/>
          <w:szCs w:val="24"/>
        </w:rPr>
        <w:t>；8-12楼为各病区；13楼为行政办公区域。大楼1-13楼为电子监控区域，设有消防监控室、视频监控室，有8部电梯，13间强电井、2间配电房、3间电梯机房、3间UPS机房；2个疏散通道、龙尾院</w:t>
      </w:r>
      <w:r>
        <w:rPr>
          <w:rFonts w:hint="eastAsia" w:ascii="宋体" w:hAnsi="宋体" w:eastAsia="宋体" w:cs="宋体"/>
          <w:sz w:val="24"/>
          <w:szCs w:val="24"/>
          <w:lang w:val="en-US" w:eastAsia="zh-CN"/>
        </w:rPr>
        <w:t>区</w:t>
      </w:r>
      <w:r>
        <w:rPr>
          <w:rFonts w:hint="eastAsia" w:ascii="宋体" w:hAnsi="宋体" w:eastAsia="宋体" w:cs="宋体"/>
          <w:sz w:val="24"/>
          <w:szCs w:val="24"/>
        </w:rPr>
        <w:t>楼顶天台有约30m³水池一个。</w:t>
      </w:r>
    </w:p>
    <w:p w14:paraId="445D9F61">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3.社康中心建筑面积共约</w:t>
      </w:r>
      <w:r>
        <w:rPr>
          <w:rFonts w:hint="eastAsia" w:ascii="宋体" w:hAnsi="宋体" w:eastAsia="宋体" w:cs="宋体"/>
          <w:sz w:val="24"/>
          <w:szCs w:val="24"/>
          <w:lang w:val="en-US" w:eastAsia="zh-CN"/>
        </w:rPr>
        <w:t>15282.66</w:t>
      </w:r>
      <w:r>
        <w:rPr>
          <w:rFonts w:hint="eastAsia" w:ascii="宋体" w:hAnsi="宋体" w:eastAsia="宋体" w:cs="宋体"/>
          <w:sz w:val="24"/>
          <w:szCs w:val="24"/>
        </w:rPr>
        <w:t>㎡：</w:t>
      </w:r>
    </w:p>
    <w:p w14:paraId="46CC2355">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（1）下梅林社康位于福田区下梅林虹湾花园2栋配套二01层02号房、02层02号房，建筑面积约997㎡，有1部电梯</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1间配电房</w:t>
      </w:r>
      <w:r>
        <w:rPr>
          <w:rFonts w:hint="eastAsia" w:ascii="宋体" w:hAnsi="宋体" w:eastAsia="宋体" w:cs="宋体"/>
          <w:sz w:val="24"/>
          <w:szCs w:val="24"/>
        </w:rPr>
        <w:t>。</w:t>
      </w:r>
    </w:p>
    <w:p w14:paraId="2104FB68">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（2）梅山社康位于福田区下梅林梅山苑梅山街50号，建筑面积约399㎡</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307942BE">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（3）梅京社康位于福田区下梅林二街颂德花园第1层商铺114号房、第2层商铺222-227号房，建筑面积约480㎡</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22CC7F57">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（4）映山社康位于福田区莲塘尾片区栖棠映山花园6号楼6A商业及配套半地下室01层04房，建筑面积约406㎡</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756230CE">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（5）龙尾社康位于福田区梅林10号路文体公园内，建筑面积约1123㎡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76A9C652">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（6）新兴社康位于福田区梅兴苑4栋商铺15号，建筑面积约419㎡</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0950101D">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（7）上梅林社康位于福田区梅林四村梅林阁一层05号、08号商铺，裙楼第二层201号，建筑面积约</w:t>
      </w:r>
      <w:r>
        <w:rPr>
          <w:rFonts w:hint="eastAsia" w:ascii="宋体" w:hAnsi="宋体" w:eastAsia="宋体" w:cs="宋体"/>
          <w:sz w:val="24"/>
          <w:szCs w:val="24"/>
          <w:lang w:val="en-US" w:eastAsia="zh-CN"/>
        </w:rPr>
        <w:t>1929</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7B9F8B50">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（8）梅丰社康位于福田区梅林街道梅华路深华科技园底层102CD，建筑面积约350㎡</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476E74CB">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 梅亭社康位于福田区梅林街道广厦路绅宝花园C2，建筑面积约426㎡</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1F9521FF">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（10）新一代产业园社康位于福田区中康路136号6栋1楼首层，建筑面积约400㎡。</w:t>
      </w:r>
    </w:p>
    <w:p w14:paraId="059C142E">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（11）福利中心社康位于福田区新沙路56号福田区福利中心业务楼一层，建筑面积约</w:t>
      </w:r>
      <w:r>
        <w:rPr>
          <w:rFonts w:hint="eastAsia" w:ascii="宋体" w:hAnsi="宋体" w:eastAsia="宋体" w:cs="宋体"/>
          <w:sz w:val="24"/>
          <w:szCs w:val="24"/>
          <w:lang w:val="en-US" w:eastAsia="zh-CN"/>
        </w:rPr>
        <w:t>200</w:t>
      </w:r>
      <w:r>
        <w:rPr>
          <w:rFonts w:hint="eastAsia" w:ascii="宋体" w:hAnsi="宋体" w:eastAsia="宋体" w:cs="宋体"/>
          <w:sz w:val="24"/>
          <w:szCs w:val="24"/>
        </w:rPr>
        <w:t>㎡。</w:t>
      </w:r>
    </w:p>
    <w:p w14:paraId="680F9ED7">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（12）新阁社康位于福田区梅林街道林园东路笔梁山公馆2栋112号铺，建筑面积约266㎡</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50455967">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（13）翰岭社康位于福田区彩田北路翰岭院13-15栋28号，建筑面积约300㎡。</w:t>
      </w:r>
    </w:p>
    <w:p w14:paraId="52D1FD4A">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（14）孖岭社康位于福田区梅林路40号民生银行宿舍楼首层，建筑面积约85</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63AC1808">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（15）园岭社康位于福田区园岭东路园东花园裙楼第一层32，第二层36-49,116-117，建筑面积约1132㎡，有1部电梯</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1间配电房</w:t>
      </w:r>
      <w:r>
        <w:rPr>
          <w:rFonts w:hint="eastAsia" w:ascii="宋体" w:hAnsi="宋体" w:eastAsia="宋体" w:cs="宋体"/>
          <w:sz w:val="24"/>
          <w:szCs w:val="24"/>
        </w:rPr>
        <w:t>。</w:t>
      </w:r>
    </w:p>
    <w:p w14:paraId="26C78795">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（16）南天社康位于福田区百花二路百花文化中心L128B、L131，建筑面积约</w:t>
      </w:r>
      <w:r>
        <w:rPr>
          <w:rFonts w:hint="eastAsia" w:ascii="宋体" w:hAnsi="宋体" w:eastAsia="宋体" w:cs="宋体"/>
          <w:sz w:val="24"/>
          <w:szCs w:val="24"/>
          <w:lang w:val="en-US" w:eastAsia="zh-CN"/>
        </w:rPr>
        <w:t>853</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0E668697">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（17）长城社康位于福田区百花二路百花公寓3号楼裙楼111、120-1商铺，建筑面积约748㎡</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2EC00A33">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（18）海连社康位于福田区海连大厦裙楼第一层102-1号，建筑面积约470㎡</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有1间配电房</w:t>
      </w:r>
      <w:r>
        <w:rPr>
          <w:rFonts w:hint="eastAsia" w:ascii="宋体" w:hAnsi="宋体" w:eastAsia="宋体" w:cs="宋体"/>
          <w:sz w:val="24"/>
          <w:szCs w:val="24"/>
        </w:rPr>
        <w:t>。</w:t>
      </w:r>
    </w:p>
    <w:p w14:paraId="39FFCCBA">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（19）莲花二村社康位于福田区莲花二村39栋底层1号，建筑面积约171㎡。</w:t>
      </w:r>
    </w:p>
    <w:p w14:paraId="67962CE9">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（20）八卦岭社康位于福田区八卦路56号，共4层，建筑面积约32</w:t>
      </w:r>
      <w:r>
        <w:rPr>
          <w:rFonts w:hint="eastAsia" w:ascii="宋体" w:hAnsi="宋体" w:eastAsia="宋体" w:cs="宋体"/>
          <w:sz w:val="24"/>
          <w:szCs w:val="24"/>
          <w:lang w:val="en-US" w:eastAsia="zh-CN"/>
        </w:rPr>
        <w:t>5</w:t>
      </w:r>
      <w:r>
        <w:rPr>
          <w:rFonts w:hint="eastAsia" w:ascii="宋体" w:hAnsi="宋体" w:eastAsia="宋体" w:cs="宋体"/>
          <w:sz w:val="24"/>
          <w:szCs w:val="24"/>
        </w:rPr>
        <w:t>0㎡，1间高压配电房、1间低压配电房、1间应急发电机房、1个生活水池，有1部电梯。</w:t>
      </w:r>
    </w:p>
    <w:p w14:paraId="2B97A05F">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（21）院本部社康位于福田区上梅林中康路27号附楼A栋2层</w:t>
      </w:r>
      <w:r>
        <w:rPr>
          <w:rFonts w:hint="eastAsia" w:ascii="宋体" w:hAnsi="宋体" w:eastAsia="宋体" w:cs="宋体"/>
          <w:sz w:val="24"/>
          <w:szCs w:val="24"/>
          <w:lang w:val="en-US" w:eastAsia="zh-CN"/>
        </w:rPr>
        <w:t>201，建筑面积约120</w:t>
      </w:r>
      <w:r>
        <w:rPr>
          <w:rFonts w:hint="eastAsia" w:ascii="宋体" w:hAnsi="宋体" w:eastAsia="宋体" w:cs="宋体"/>
          <w:sz w:val="24"/>
          <w:szCs w:val="24"/>
        </w:rPr>
        <w:t>㎡。</w:t>
      </w:r>
    </w:p>
    <w:p w14:paraId="304069F1">
      <w:pPr>
        <w:pStyle w:val="3"/>
        <w:keepNext w:val="0"/>
        <w:keepLines w:val="0"/>
        <w:pageBreakBefore w:val="0"/>
        <w:widowControl w:val="0"/>
        <w:kinsoku/>
        <w:wordWrap/>
        <w:overflowPunct/>
        <w:topLinePunct w:val="0"/>
        <w:autoSpaceDE/>
        <w:autoSpaceDN/>
        <w:bidi w:val="0"/>
        <w:spacing w:line="360" w:lineRule="auto"/>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二、技术要求</w:t>
      </w:r>
    </w:p>
    <w:p w14:paraId="5B021A79">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本次采购服务内容主要包括：中康院区、龙尾院区、下属各社康中心的秩序维护服务；清洁卫生服务；设施设备管理服务；绿化养护(含绿植摆放)服务；综合服务。</w:t>
      </w:r>
    </w:p>
    <w:p w14:paraId="0C68E2E3">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1.秩序维护服务</w:t>
      </w:r>
    </w:p>
    <w:p w14:paraId="17CF1E54">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（1）服务范围</w:t>
      </w:r>
    </w:p>
    <w:p w14:paraId="1D9C7747">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负责医院日常安保、防暴、扫黑除恶等综合治安管理工作。24小时门卫驻守值班及安全巡查，配合辖区派出所制止打架斗殴、打击盗窃抢劫、医托医闹、非法伤害等突发事件、事故；负责两院区入口安检工作，利用安检三件套对进入医院人员落实安检，做到逢包必检、逢人必查，对排查出的管制刀具等危险物品登记妥善、暂存；每周进行防暴演练，维护医院就医秩序，确保医院财产和人身安全。</w:t>
      </w:r>
    </w:p>
    <w:p w14:paraId="12C85373">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负责医院消防工作（不含消防维保），严格按照相关法律法规组建义务消防队，每季度组织一次消防培训、演练，并对医院消防系统、消防监控室、消防器材进行定期巡查，确保消防系统技术状态符合安全使用要求，消防监控室24小时有双人值班，及时排除各种安全隐患。</w:t>
      </w:r>
    </w:p>
    <w:p w14:paraId="48C232D5">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3）制定安全相关的各类管理制度、应急处理预案及突发事件处理制度，及时有效的处理安全隐患、治安事件、自然灾害等有关的日常安保、隐患整改及突发事件、事故。</w:t>
      </w:r>
    </w:p>
    <w:p w14:paraId="1554197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负责医院、社康停车场的管理工作，指挥车辆停放、保障车辆安全,防止被盗，维护通行秩序、停放秩序，严禁车辆占用消防通道、疏散通道，并对进出车辆进行登记（中康院区停车费由采购人收取，采购人提供中康院区停车场道闸等相关配套设备设施的安装、维修、维护）。</w:t>
      </w:r>
    </w:p>
    <w:p w14:paraId="35D8D35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5）负责医院重大活动、会议的安保秩序维护工作。</w:t>
      </w:r>
    </w:p>
    <w:p w14:paraId="2C15F04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6）负责配合医院对社康中心进行安全巡查、协助紧急事件应急处理等工作。</w:t>
      </w:r>
    </w:p>
    <w:p w14:paraId="15C2B6BA">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7）协助医院做好公共卫生突发事件防控相关工作 ,参与防控相关培训讲座，具体操作实施细则以院感要求为准。</w:t>
      </w:r>
    </w:p>
    <w:p w14:paraId="48DE706C">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8）负责在巡查过程中观测房屋墙体情况，发现安全隐患及时上报处理。</w:t>
      </w:r>
    </w:p>
    <w:p w14:paraId="2BAE6BDA">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9）报刊邮件收发，及时准确，不漏发、错发、迟发。</w:t>
      </w:r>
    </w:p>
    <w:p w14:paraId="08480A2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10）合同履约过程中，因法律法规及工作需要进行调整的服务内容及工作范围，中标人需无条件接受。</w:t>
      </w:r>
    </w:p>
    <w:p w14:paraId="5BD930F8">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（2）服务要求</w:t>
      </w:r>
    </w:p>
    <w:p w14:paraId="2469509C">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严格落实执行服务范围内要求的所有事项，为医院提供优质的秩序维护服务，维护医院的安全和秩序，防止意外事件、突发事故及不法侵害对医院造成经济损失，避免威胁到人身财产安全，满足医院安全需求。</w:t>
      </w:r>
    </w:p>
    <w:p w14:paraId="4420A89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sz w:val="24"/>
          <w:szCs w:val="24"/>
        </w:rPr>
        <w:t>2）按照院感办要求进行公共卫生突发事件防控相关工作时需及时、准确、有效</w:t>
      </w:r>
      <w:r>
        <w:rPr>
          <w:rFonts w:hint="eastAsia" w:ascii="宋体" w:hAnsi="宋体" w:eastAsia="宋体" w:cs="宋体"/>
          <w:color w:val="auto"/>
          <w:sz w:val="24"/>
          <w:szCs w:val="24"/>
        </w:rPr>
        <w:t xml:space="preserve">，参与防控相关培训讲座后相关考评须合格。 </w:t>
      </w:r>
    </w:p>
    <w:p w14:paraId="4EFB7CFE">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3）秩序维护服务相关的文件建档备查要求详见“5.(1)档案管理服务”。</w:t>
      </w:r>
    </w:p>
    <w:p w14:paraId="0A9F612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4）保安的人员素质要求详见“（三）人员要求”。</w:t>
      </w:r>
    </w:p>
    <w:p w14:paraId="42C30A7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2.清洁卫生服务</w:t>
      </w:r>
    </w:p>
    <w:p w14:paraId="3712F9C6">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（1）服务范围</w:t>
      </w:r>
    </w:p>
    <w:p w14:paraId="7642DA87">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1）负责医院顶棚、天花、顶楼屋面、台面、地面、墙面、门窗、玻璃、桌、椅、床、柜、室内家具、各类电器（可清洁消毒部分）、各类设施设备（可清洁消毒部分）、宣传栏、扶手、护栏、门牌、输液架、垃圾桶、垃圾暂存点（间）、灯具、开关、厕所、警务室、电梯、楼梯、走廊、外围等红线范围内全方位的清洁、消杀、保洁工作和环境美化工作（食堂内部除外）。 </w:t>
      </w:r>
    </w:p>
    <w:p w14:paraId="53C4CA8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2）医废垃圾分类收集、清运、暂存、移交。</w:t>
      </w:r>
    </w:p>
    <w:p w14:paraId="342D230C">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3）生活垃圾分类收集、清运、暂存、移交。</w:t>
      </w:r>
    </w:p>
    <w:p w14:paraId="7BAAAEB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4）公共厕所专人专管，时刻保洁。</w:t>
      </w:r>
    </w:p>
    <w:p w14:paraId="3872B36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5）各类地面、地板的专业清洁及周期性打蜡。</w:t>
      </w:r>
    </w:p>
    <w:p w14:paraId="61F72C3E">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6）皮质家具清洁。</w:t>
      </w:r>
    </w:p>
    <w:p w14:paraId="5583D96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7）地巾布巾等清洁用具清洗消毒。</w:t>
      </w:r>
    </w:p>
    <w:p w14:paraId="5719E8D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8）临床科室、医技科室、门诊科室、病区病房等医疗区域按院感要求进行专业清洁与消毒。</w:t>
      </w:r>
    </w:p>
    <w:p w14:paraId="4FF8B6B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9）污水井、雨水井、沟渠、下水道等定期清淤、疏通、无害化处理；化粪池每年至少清理两次。</w:t>
      </w:r>
    </w:p>
    <w:p w14:paraId="0A55173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10）生活水池清淤、清洗、消毒每年至少两次。</w:t>
      </w:r>
    </w:p>
    <w:p w14:paraId="6F6C9CB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11）公共区域每天环境消毒消杀，每周至少一次除“四害”。</w:t>
      </w:r>
    </w:p>
    <w:p w14:paraId="2E6C4D2A">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12）病区病房环境整理。</w:t>
      </w:r>
    </w:p>
    <w:p w14:paraId="6F14619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13）协助病区进行物资</w:t>
      </w:r>
      <w:r>
        <w:rPr>
          <w:rFonts w:hint="eastAsia" w:ascii="宋体" w:hAnsi="宋体" w:eastAsia="宋体" w:cs="宋体"/>
          <w:sz w:val="24"/>
          <w:szCs w:val="24"/>
          <w:lang w:val="en-US" w:eastAsia="zh-CN"/>
        </w:rPr>
        <w:t>领取</w:t>
      </w:r>
      <w:r>
        <w:rPr>
          <w:rFonts w:hint="eastAsia" w:ascii="宋体" w:hAnsi="宋体" w:eastAsia="宋体" w:cs="宋体"/>
          <w:sz w:val="24"/>
          <w:szCs w:val="24"/>
        </w:rPr>
        <w:t>。</w:t>
      </w:r>
    </w:p>
    <w:p w14:paraId="5B23127E">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14）负责病房普通患者陪检，送标本。</w:t>
      </w:r>
    </w:p>
    <w:p w14:paraId="2D009BA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）医疗器械、器具和物品等清洁消毒；床单位终末消毒。</w:t>
      </w:r>
    </w:p>
    <w:p w14:paraId="08E6A42E">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）与被服运送人员对接，清点相关物品并分类放置。</w:t>
      </w:r>
    </w:p>
    <w:p w14:paraId="56BEB18F">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w:t>
      </w:r>
      <w:r>
        <w:rPr>
          <w:rFonts w:hint="eastAsia" w:ascii="宋体" w:hAnsi="宋体" w:eastAsia="宋体" w:cs="宋体"/>
          <w:sz w:val="24"/>
          <w:szCs w:val="24"/>
        </w:rPr>
        <w:t>）协助医院做好公共卫生突发事件防控相关工作 ,参与防控相关培训讲座，具体操作实施细则以院感要求为准。</w:t>
      </w:r>
    </w:p>
    <w:p w14:paraId="0AE896F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）合同履约过程中，因法律法规及工作需要进行调整的服务内容及工作范围，中标人需无条件接受。</w:t>
      </w:r>
    </w:p>
    <w:p w14:paraId="6A4E944C">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（2）服务要求</w:t>
      </w:r>
    </w:p>
    <w:p w14:paraId="5B6D7A45">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1）清洁消毒后的顶棚、天花、顶楼屋面、台面、地面、墙面、门窗、玻璃、桌、椅、床、柜、室内家具、各类电器（可清洁消毒部分）、各类设施设备（可清洁消毒部分）、宣传栏、扶手、护栏、门牌、输液架、垃圾桶、垃圾暂存点（间）、灯具、开关、厕所、警务室、电梯、楼梯、走廊、外围等红线范围内的区域，应无任何垃圾杂物、无蛛网、无积水、无污渍、无异味、无拖扫擦拭痕迹，须干净整洁、窗明几净，同时符合院感防控有关要求。 </w:t>
      </w:r>
    </w:p>
    <w:p w14:paraId="6338F66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2）医疗垃圾按照《医疗废物管理条例》《医疗卫生机构医疗废物管理办法》《医疗废物包装物、容器标准和标识》及《医疗废物分类目录》的规定进行分类收集、清运、暂存、移交（医废垃圾袋由中标人提供，费用由中标人承担）。 </w:t>
      </w:r>
    </w:p>
    <w:p w14:paraId="68EBC89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3）生活垃圾按《生活垃圾分类单位评价标准》《深圳市生活垃圾分类管理条例》等相关要求规范落实执行，达到国家或地方生活垃圾分类管理条例的要求（生活垃圾袋由中标人提供，费用由中标人承担）。</w:t>
      </w:r>
    </w:p>
    <w:p w14:paraId="2461528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4）按规范落实执行“厕所革命”，达到国家或地方公共厕所环境指数测评方案的要求。</w:t>
      </w:r>
    </w:p>
    <w:p w14:paraId="57DC985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5）各类地面干净整洁无污垢，石材地面及PVC地面每半年全面打蜡抛光一次，抛光面应光亮平滑，无明显凹凸不平与毛钝感。</w:t>
      </w:r>
    </w:p>
    <w:p w14:paraId="7E2C881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6）每次清洗之后，要用皮革保护剂进行保护（沙发清洗剂和保护剂等耗材由中标人提供）。</w:t>
      </w:r>
    </w:p>
    <w:p w14:paraId="52E0772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7）分区分色正确使用清洁工具、正确清洁消毒，使用后的清洁用具须单独做清洗消毒烘干处理。</w:t>
      </w:r>
    </w:p>
    <w:p w14:paraId="053097C7">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8）临床科室、医技科室、门诊科室、病区病房等医疗区域的的专业环境清洁与消毒，须在科室指导下，按照院感要求执行。须针对性培训的，由科室或院感办培训合格后方可上岗。</w:t>
      </w:r>
    </w:p>
    <w:p w14:paraId="593ECC7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9）污水井、雨水井、化粪池、沟渠、下水道等不堵塞。</w:t>
      </w:r>
    </w:p>
    <w:p w14:paraId="0D3C850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10）生活水池每年清洗消毒不少于两次，并提供水质检测报告（委托检测费用由中标人承担,第三方检测报告中标人须于当次清洗消毒水池后30日内提供给采购人）。</w:t>
      </w:r>
    </w:p>
    <w:p w14:paraId="5DE536E5">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11）公共区域每天进行环境消毒消杀，须达到院感办的相关要求，每周除“四害”，必须聘请已完成“病媒生物防制有偿服务机构备案”的专业公司从事病媒生物预防控制工作，须达到居民健康管理（公卫）中心的相关要求。</w:t>
      </w:r>
    </w:p>
    <w:p w14:paraId="5E71A28D">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12）协助护士完成治疗室、换药室、仪器房、库房、护士站、医生办公室等病区范围内的物品整理。</w:t>
      </w:r>
    </w:p>
    <w:p w14:paraId="030B8373">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13）合理规范放置病区及病人床单位物品，保持病区环境整洁，美观。</w:t>
      </w:r>
    </w:p>
    <w:p w14:paraId="6FD5939E">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14）快速、正确引导病区患者就诊，维持病区秩序，保持病区安静，保证患者休息。</w:t>
      </w:r>
    </w:p>
    <w:p w14:paraId="607E1160">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15）协助护士完成病区物资（办公用品、耗材等）的清点、领取及运送。</w:t>
      </w:r>
    </w:p>
    <w:p w14:paraId="01D6E0D0">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16）做好患者呼吸道分泌物、排泄物、呕吐物的处理，严格终末消毒。科学合理进行诊疗环境物体表面的清洁消毒，加强隔离病区、人员密集场所、高频接触点、医疗废物处置区域表面的清洁和消毒频次。</w:t>
      </w:r>
    </w:p>
    <w:p w14:paraId="019F1D6C">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17）加强医用织物清洁消毒管理，住院患者、急诊室患者应一人一套一更换，衣服、床单、被套、枕套至少每周更换1次；枕芯、被褥、床垫应定期清洁、消毒，被血液、体液污染时应及时更换、清洁、消毒。门诊诊间、治疗间的床单至少每天更换，有污染随时更换。医用织物洗涤运输应专车专用，洁污分开，并有明显标志，密闭运送防止二次污染。接收及存放区域标志应明确，避免交叉污染。</w:t>
      </w:r>
    </w:p>
    <w:p w14:paraId="3D1160D1">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18）不得从事与医疗护理有关的侵入性技术工作。</w:t>
      </w:r>
    </w:p>
    <w:p w14:paraId="62544BF4">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bookmarkStart w:id="0" w:name="_Hlk105662801"/>
      <w:r>
        <w:rPr>
          <w:rFonts w:hint="eastAsia" w:ascii="宋体" w:hAnsi="宋体" w:eastAsia="宋体" w:cs="宋体"/>
          <w:sz w:val="24"/>
          <w:szCs w:val="24"/>
        </w:rPr>
        <w:t>19）严格按照相关要求做好医疗器械、器具和物品等的清洁消毒，做到“一人一用一消毒或一灭菌”。</w:t>
      </w:r>
    </w:p>
    <w:p w14:paraId="35F86329">
      <w:pPr>
        <w:pStyle w:val="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sz w:val="24"/>
          <w:szCs w:val="24"/>
        </w:rPr>
        <w:t>20）在全员培训基础上，发热门诊、急诊、感染性疾病科、呼吸科、口腔科、耳鼻喉科、重症医学科、内镜室、血透室、CT检查室、手术</w:t>
      </w:r>
      <w:r>
        <w:rPr>
          <w:rFonts w:hint="eastAsia" w:ascii="宋体" w:hAnsi="宋体" w:eastAsia="宋体" w:cs="宋体"/>
          <w:color w:val="auto"/>
          <w:sz w:val="24"/>
          <w:szCs w:val="24"/>
        </w:rPr>
        <w:t>室、肺功能检查室等高风险科室和部门必须制定针对性培训内容，使保洁人员熟练掌握</w:t>
      </w:r>
      <w:r>
        <w:rPr>
          <w:rFonts w:hint="eastAsia" w:ascii="宋体" w:hAnsi="宋体" w:eastAsia="宋体" w:cs="宋体"/>
          <w:color w:val="auto"/>
          <w:sz w:val="24"/>
          <w:szCs w:val="24"/>
          <w:lang w:val="en-US" w:eastAsia="zh-CN"/>
        </w:rPr>
        <w:t>手卫生知识、</w:t>
      </w:r>
      <w:r>
        <w:rPr>
          <w:rFonts w:hint="eastAsia" w:ascii="宋体" w:hAnsi="宋体" w:eastAsia="宋体" w:cs="宋体"/>
          <w:color w:val="auto"/>
          <w:sz w:val="24"/>
          <w:szCs w:val="24"/>
        </w:rPr>
        <w:t>清洁消毒技能及公共卫生突发事件防控知识。</w:t>
      </w:r>
    </w:p>
    <w:p w14:paraId="3830314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color w:val="auto"/>
          <w:sz w:val="24"/>
          <w:szCs w:val="24"/>
        </w:rPr>
        <w:t>21）按照院感办要求进行公共卫生突发事件防控相关工作时需及时、准</w:t>
      </w:r>
      <w:r>
        <w:rPr>
          <w:rFonts w:hint="eastAsia" w:ascii="宋体" w:hAnsi="宋体" w:eastAsia="宋体" w:cs="宋体"/>
          <w:sz w:val="24"/>
          <w:szCs w:val="24"/>
        </w:rPr>
        <w:t xml:space="preserve">确、有效，参与防控相关培训讲座后相关考评须合格。 </w:t>
      </w:r>
    </w:p>
    <w:bookmarkEnd w:id="0"/>
    <w:p w14:paraId="7AF0F90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（3）服务目标</w:t>
      </w:r>
    </w:p>
    <w:p w14:paraId="107E131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1）整体环境卫生符合环境局及爱卫办相关要求。</w:t>
      </w:r>
    </w:p>
    <w:p w14:paraId="66F9C1E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2）整体疫情防控工作须符合医疗机构感染防控工作要求。</w:t>
      </w:r>
    </w:p>
    <w:p w14:paraId="5C63919A">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3）整体环境消杀、除“四害”须达到《医院感染管理规范》《医疗机构环境表面清洁与消毒管理规范》《医疗机构消毒技术规范》与《深圳市除四害工作管理规定》等政策、规范要求。</w:t>
      </w:r>
    </w:p>
    <w:p w14:paraId="05773FD6">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4）医疗废物收集、清运、暂存、移交等处理符合《医疗废物管理条例》《医疗卫生机构医疗废物管理办法》《医疗废物包装物、容器标准和标识》及《医疗废物分类目录》等相关文件要求。</w:t>
      </w:r>
    </w:p>
    <w:p w14:paraId="20ECD8D5">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（4）服务标准</w:t>
      </w:r>
    </w:p>
    <w:tbl>
      <w:tblPr>
        <w:tblStyle w:val="5"/>
        <w:tblW w:w="7035" w:type="dxa"/>
        <w:jc w:val="center"/>
        <w:tblLayout w:type="fixed"/>
        <w:tblCellMar>
          <w:top w:w="0" w:type="dxa"/>
          <w:left w:w="0" w:type="dxa"/>
          <w:bottom w:w="0" w:type="dxa"/>
          <w:right w:w="0" w:type="dxa"/>
        </w:tblCellMar>
      </w:tblPr>
      <w:tblGrid>
        <w:gridCol w:w="1418"/>
        <w:gridCol w:w="2280"/>
        <w:gridCol w:w="3337"/>
      </w:tblGrid>
      <w:tr w14:paraId="7359DBF9">
        <w:tblPrEx>
          <w:tblCellMar>
            <w:top w:w="0" w:type="dxa"/>
            <w:left w:w="0" w:type="dxa"/>
            <w:bottom w:w="0" w:type="dxa"/>
            <w:right w:w="0" w:type="dxa"/>
          </w:tblCellMar>
        </w:tblPrEx>
        <w:trPr>
          <w:trHeight w:val="291" w:hRule="atLeast"/>
          <w:jc w:val="center"/>
        </w:trPr>
        <w:tc>
          <w:tcPr>
            <w:tcW w:w="1418" w:type="dxa"/>
            <w:tcBorders>
              <w:top w:val="single" w:color="auto" w:sz="8" w:space="0"/>
              <w:left w:val="single" w:color="auto" w:sz="8" w:space="0"/>
              <w:bottom w:val="single" w:color="auto" w:sz="8" w:space="0"/>
              <w:right w:val="single" w:color="auto" w:sz="8" w:space="0"/>
            </w:tcBorders>
            <w:noWrap w:val="0"/>
            <w:vAlign w:val="center"/>
          </w:tcPr>
          <w:p w14:paraId="4F48DCA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区域</w:t>
            </w:r>
          </w:p>
        </w:tc>
        <w:tc>
          <w:tcPr>
            <w:tcW w:w="2280" w:type="dxa"/>
            <w:tcBorders>
              <w:top w:val="single" w:color="auto" w:sz="8" w:space="0"/>
              <w:left w:val="single" w:color="auto" w:sz="8" w:space="0"/>
              <w:bottom w:val="single" w:color="auto" w:sz="8" w:space="0"/>
              <w:right w:val="single" w:color="auto" w:sz="8" w:space="0"/>
            </w:tcBorders>
            <w:noWrap w:val="0"/>
            <w:vAlign w:val="center"/>
          </w:tcPr>
          <w:p w14:paraId="4C7D94A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清洁项目</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565D43E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清洁标准</w:t>
            </w:r>
          </w:p>
        </w:tc>
      </w:tr>
      <w:tr w14:paraId="012630A9">
        <w:tblPrEx>
          <w:tblCellMar>
            <w:top w:w="0" w:type="dxa"/>
            <w:left w:w="0" w:type="dxa"/>
            <w:bottom w:w="0" w:type="dxa"/>
            <w:right w:w="0" w:type="dxa"/>
          </w:tblCellMar>
        </w:tblPrEx>
        <w:trPr>
          <w:trHeight w:val="834" w:hRule="atLeast"/>
          <w:jc w:val="center"/>
        </w:trPr>
        <w:tc>
          <w:tcPr>
            <w:tcW w:w="1418" w:type="dxa"/>
            <w:vMerge w:val="restart"/>
            <w:tcBorders>
              <w:top w:val="single" w:color="auto" w:sz="8" w:space="0"/>
              <w:left w:val="single" w:color="auto" w:sz="8" w:space="0"/>
              <w:bottom w:val="single" w:color="auto" w:sz="8" w:space="0"/>
              <w:right w:val="single" w:color="auto" w:sz="8" w:space="0"/>
            </w:tcBorders>
            <w:noWrap w:val="0"/>
            <w:vAlign w:val="center"/>
          </w:tcPr>
          <w:p w14:paraId="033CF07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p w14:paraId="351B6E8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p w14:paraId="2306032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大堂、门</w:t>
            </w:r>
          </w:p>
          <w:p w14:paraId="1894755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p w14:paraId="5E31AF7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口、走廊</w:t>
            </w:r>
          </w:p>
          <w:p w14:paraId="283B309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11866D3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大理石、PVC地面</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4859159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随时保持干净、无污渍、尘渍、痰渍、烟蒂、杂物等，保持光洁明亮</w:t>
            </w:r>
          </w:p>
        </w:tc>
      </w:tr>
      <w:tr w14:paraId="07FE171D">
        <w:tblPrEx>
          <w:tblCellMar>
            <w:top w:w="0" w:type="dxa"/>
            <w:left w:w="0" w:type="dxa"/>
            <w:bottom w:w="0" w:type="dxa"/>
            <w:right w:w="0" w:type="dxa"/>
          </w:tblCellMar>
        </w:tblPrEx>
        <w:trPr>
          <w:trHeight w:val="291"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4B1137A5">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1DE3AD4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大理石、瓷砖墙身</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8F5BE3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保持清洁</w:t>
            </w:r>
          </w:p>
        </w:tc>
      </w:tr>
      <w:tr w14:paraId="7F7F5750">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398AA52C">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715893D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玻璃门及玻璃幕墙</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18CB8E1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无手印、无污渍</w:t>
            </w:r>
          </w:p>
        </w:tc>
      </w:tr>
      <w:tr w14:paraId="2857943E">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703BA119">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1BB0177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天花板、大灯及灯箱光管</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18C43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无蛛丝、无灰尘</w:t>
            </w:r>
          </w:p>
        </w:tc>
      </w:tr>
      <w:tr w14:paraId="1191A094">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34017779">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15B289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灯饰、标示牌、风扇、风口</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5085DA7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无蛛丝、无灰尘</w:t>
            </w:r>
          </w:p>
        </w:tc>
      </w:tr>
      <w:tr w14:paraId="3B20228D">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4028C7DA">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6C28CD8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花盆、花槽</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5F20FF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无杂物、无明显灰尘，无烟蒂</w:t>
            </w:r>
          </w:p>
        </w:tc>
      </w:tr>
      <w:tr w14:paraId="1AE5A772">
        <w:tblPrEx>
          <w:tblCellMar>
            <w:top w:w="0" w:type="dxa"/>
            <w:left w:w="0" w:type="dxa"/>
            <w:bottom w:w="0" w:type="dxa"/>
            <w:right w:w="0" w:type="dxa"/>
          </w:tblCellMar>
        </w:tblPrEx>
        <w:trPr>
          <w:trHeight w:val="598"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2B153A6D">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6DE511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垃圾箱</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0E22B52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无尘渍、痰渍、烟蒂等，无异味、无堆积溢出</w:t>
            </w:r>
          </w:p>
        </w:tc>
      </w:tr>
      <w:tr w14:paraId="66674ED2">
        <w:tblPrEx>
          <w:tblCellMar>
            <w:top w:w="0" w:type="dxa"/>
            <w:left w:w="0" w:type="dxa"/>
            <w:bottom w:w="0" w:type="dxa"/>
            <w:right w:w="0" w:type="dxa"/>
          </w:tblCellMar>
        </w:tblPrEx>
        <w:trPr>
          <w:trHeight w:val="562" w:hRule="atLeast"/>
          <w:jc w:val="center"/>
        </w:trPr>
        <w:tc>
          <w:tcPr>
            <w:tcW w:w="1418" w:type="dxa"/>
            <w:vMerge w:val="restart"/>
            <w:tcBorders>
              <w:top w:val="single" w:color="auto" w:sz="8" w:space="0"/>
              <w:left w:val="single" w:color="auto" w:sz="8" w:space="0"/>
              <w:bottom w:val="single" w:color="auto" w:sz="8" w:space="0"/>
              <w:right w:val="single" w:color="auto" w:sz="8" w:space="0"/>
            </w:tcBorders>
            <w:noWrap w:val="0"/>
            <w:vAlign w:val="center"/>
          </w:tcPr>
          <w:p w14:paraId="17D8A2F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电梯</w:t>
            </w:r>
          </w:p>
        </w:tc>
        <w:tc>
          <w:tcPr>
            <w:tcW w:w="2280" w:type="dxa"/>
            <w:tcBorders>
              <w:top w:val="single" w:color="auto" w:sz="8" w:space="0"/>
              <w:left w:val="single" w:color="auto" w:sz="8" w:space="0"/>
              <w:bottom w:val="single" w:color="auto" w:sz="8" w:space="0"/>
              <w:right w:val="single" w:color="auto" w:sz="8" w:space="0"/>
            </w:tcBorders>
            <w:noWrap w:val="0"/>
            <w:vAlign w:val="center"/>
          </w:tcPr>
          <w:p w14:paraId="38D924F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电梯门、不锈钢按钮、运行显示板</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1D45A87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随时保持无手印、无污渍</w:t>
            </w:r>
          </w:p>
        </w:tc>
      </w:tr>
      <w:tr w14:paraId="7396D388">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18641019">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0118BA9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电梯箱内照明、天花</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DA63A9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无蜘蛛网、无污渍</w:t>
            </w:r>
          </w:p>
        </w:tc>
      </w:tr>
      <w:tr w14:paraId="650ADD6A">
        <w:tblPrEx>
          <w:tblCellMar>
            <w:top w:w="0" w:type="dxa"/>
            <w:left w:w="0" w:type="dxa"/>
            <w:bottom w:w="0" w:type="dxa"/>
            <w:right w:w="0" w:type="dxa"/>
          </w:tblCellMar>
        </w:tblPrEx>
        <w:trPr>
          <w:trHeight w:val="834"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236035F5">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7C36333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电梯箱内不锈钢内壁、按钮</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57FA232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无手印、污渍、蛛丝、明显灰尘等；随时保持不锈钢金属光泽</w:t>
            </w:r>
          </w:p>
        </w:tc>
      </w:tr>
      <w:tr w14:paraId="04B7A99D">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0B802618">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34C0E9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电梯箱内地面</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7BC26E4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随时保持光洁、明亮、无杂物、无烟蒂</w:t>
            </w:r>
          </w:p>
        </w:tc>
      </w:tr>
      <w:tr w14:paraId="768E2D5F">
        <w:tblPrEx>
          <w:tblCellMar>
            <w:top w:w="0" w:type="dxa"/>
            <w:left w:w="0" w:type="dxa"/>
            <w:bottom w:w="0" w:type="dxa"/>
            <w:right w:w="0" w:type="dxa"/>
          </w:tblCellMar>
        </w:tblPrEx>
        <w:trPr>
          <w:trHeight w:val="291" w:hRule="atLeast"/>
          <w:jc w:val="center"/>
        </w:trPr>
        <w:tc>
          <w:tcPr>
            <w:tcW w:w="1418" w:type="dxa"/>
            <w:vMerge w:val="restart"/>
            <w:tcBorders>
              <w:top w:val="single" w:color="auto" w:sz="8" w:space="0"/>
              <w:left w:val="single" w:color="auto" w:sz="8" w:space="0"/>
              <w:bottom w:val="single" w:color="auto" w:sz="8" w:space="0"/>
              <w:right w:val="single" w:color="auto" w:sz="8" w:space="0"/>
            </w:tcBorders>
            <w:noWrap w:val="0"/>
            <w:vAlign w:val="center"/>
          </w:tcPr>
          <w:p w14:paraId="565DED1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楼内公共走道</w:t>
            </w:r>
          </w:p>
        </w:tc>
        <w:tc>
          <w:tcPr>
            <w:tcW w:w="2280" w:type="dxa"/>
            <w:tcBorders>
              <w:top w:val="single" w:color="auto" w:sz="8" w:space="0"/>
              <w:left w:val="single" w:color="auto" w:sz="8" w:space="0"/>
              <w:bottom w:val="single" w:color="auto" w:sz="8" w:space="0"/>
              <w:right w:val="single" w:color="auto" w:sz="8" w:space="0"/>
            </w:tcBorders>
            <w:noWrap w:val="0"/>
            <w:vAlign w:val="center"/>
          </w:tcPr>
          <w:p w14:paraId="6446EF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瓷砖</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AB10D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保持干净无污渍</w:t>
            </w:r>
          </w:p>
        </w:tc>
      </w:tr>
      <w:tr w14:paraId="67F68026">
        <w:tblPrEx>
          <w:tblCellMar>
            <w:top w:w="0" w:type="dxa"/>
            <w:left w:w="0" w:type="dxa"/>
            <w:bottom w:w="0" w:type="dxa"/>
            <w:right w:w="0" w:type="dxa"/>
          </w:tblCellMar>
        </w:tblPrEx>
        <w:trPr>
          <w:trHeight w:val="291"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1C1C7DE2">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59880D7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楼梯扶手</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7355892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无污渍</w:t>
            </w:r>
          </w:p>
        </w:tc>
      </w:tr>
      <w:tr w14:paraId="7D980120">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1C84006D">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334EDBC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灯饰、天花、标牌标识、风扇、风口</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0D848F3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无污渍、无尘、无蜘蛛网</w:t>
            </w:r>
          </w:p>
        </w:tc>
      </w:tr>
      <w:tr w14:paraId="6CC456D8">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02EC7795">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7FFAAAD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消防栓、报警器开关等</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1F2FF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无手印、无污渍</w:t>
            </w:r>
          </w:p>
        </w:tc>
      </w:tr>
      <w:tr w14:paraId="1D3C365D">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01C20251">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7E11BE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垃圾箱</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64B6FA2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无尘渍、痰渍、烟蒂、异味等；无堆积溢出</w:t>
            </w:r>
          </w:p>
        </w:tc>
      </w:tr>
      <w:tr w14:paraId="010C97AB">
        <w:tblPrEx>
          <w:tblCellMar>
            <w:top w:w="0" w:type="dxa"/>
            <w:left w:w="0" w:type="dxa"/>
            <w:bottom w:w="0" w:type="dxa"/>
            <w:right w:w="0" w:type="dxa"/>
          </w:tblCellMar>
        </w:tblPrEx>
        <w:trPr>
          <w:trHeight w:val="562" w:hRule="atLeast"/>
          <w:jc w:val="center"/>
        </w:trPr>
        <w:tc>
          <w:tcPr>
            <w:tcW w:w="1418" w:type="dxa"/>
            <w:vMerge w:val="restart"/>
            <w:tcBorders>
              <w:top w:val="single" w:color="auto" w:sz="8" w:space="0"/>
              <w:left w:val="single" w:color="auto" w:sz="8" w:space="0"/>
              <w:bottom w:val="single" w:color="auto" w:sz="8" w:space="0"/>
              <w:right w:val="single" w:color="auto" w:sz="8" w:space="0"/>
            </w:tcBorders>
            <w:noWrap w:val="0"/>
            <w:vAlign w:val="center"/>
          </w:tcPr>
          <w:p w14:paraId="0015DDD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室内</w:t>
            </w:r>
          </w:p>
        </w:tc>
        <w:tc>
          <w:tcPr>
            <w:tcW w:w="2280" w:type="dxa"/>
            <w:tcBorders>
              <w:top w:val="single" w:color="auto" w:sz="8" w:space="0"/>
              <w:left w:val="single" w:color="auto" w:sz="8" w:space="0"/>
              <w:bottom w:val="single" w:color="auto" w:sz="8" w:space="0"/>
              <w:right w:val="single" w:color="auto" w:sz="8" w:space="0"/>
            </w:tcBorders>
            <w:noWrap w:val="0"/>
            <w:vAlign w:val="center"/>
          </w:tcPr>
          <w:p w14:paraId="0A91351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办公室</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78E8A1E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地面无尘、无杂物、无烟蒂；皮质、用具洁净明亮</w:t>
            </w:r>
          </w:p>
        </w:tc>
      </w:tr>
      <w:tr w14:paraId="33FCDE07">
        <w:tblPrEx>
          <w:tblCellMar>
            <w:top w:w="0" w:type="dxa"/>
            <w:left w:w="0" w:type="dxa"/>
            <w:bottom w:w="0" w:type="dxa"/>
            <w:right w:w="0" w:type="dxa"/>
          </w:tblCellMar>
        </w:tblPrEx>
        <w:trPr>
          <w:trHeight w:val="834"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3BB09A63">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704138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地面</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12BE06F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随时保持干净、无污渍、尘渍、痰渍、烟蒂等，保持光洁明亮</w:t>
            </w:r>
          </w:p>
        </w:tc>
      </w:tr>
      <w:tr w14:paraId="09C4AF51">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17D33882">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7A541F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各类电器、设备设施（可清洁消毒部分）</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0FE9AEC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洁净、无污迹</w:t>
            </w:r>
          </w:p>
        </w:tc>
      </w:tr>
      <w:tr w14:paraId="3F39A994">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6AE12E4E">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56963D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家具、窗台</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A8E47D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随时保持光洁明亮、无污渍、尘渍等</w:t>
            </w:r>
          </w:p>
        </w:tc>
      </w:tr>
      <w:tr w14:paraId="27C48797">
        <w:tblPrEx>
          <w:tblCellMar>
            <w:top w:w="0" w:type="dxa"/>
            <w:left w:w="0" w:type="dxa"/>
            <w:bottom w:w="0" w:type="dxa"/>
            <w:right w:w="0" w:type="dxa"/>
          </w:tblCellMar>
        </w:tblPrEx>
        <w:trPr>
          <w:trHeight w:val="291"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21F879E8">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48CD0FD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门窗玻璃</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520C470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无手印、无污渍</w:t>
            </w:r>
          </w:p>
        </w:tc>
      </w:tr>
      <w:tr w14:paraId="23FB3437">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479223A8">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7FF0DDB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灯饰、天花、风扇、风口、隔帘</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14248DC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无污渍、无尘、无蜘蛛网</w:t>
            </w:r>
          </w:p>
        </w:tc>
      </w:tr>
      <w:tr w14:paraId="57159500">
        <w:tblPrEx>
          <w:tblCellMar>
            <w:top w:w="0" w:type="dxa"/>
            <w:left w:w="0" w:type="dxa"/>
            <w:bottom w:w="0" w:type="dxa"/>
            <w:right w:w="0" w:type="dxa"/>
          </w:tblCellMar>
        </w:tblPrEx>
        <w:trPr>
          <w:trHeight w:val="834" w:hRule="atLeast"/>
          <w:jc w:val="center"/>
        </w:trPr>
        <w:tc>
          <w:tcPr>
            <w:tcW w:w="1418" w:type="dxa"/>
            <w:vMerge w:val="restart"/>
            <w:tcBorders>
              <w:top w:val="single" w:color="auto" w:sz="8" w:space="0"/>
              <w:left w:val="single" w:color="auto" w:sz="8" w:space="0"/>
              <w:bottom w:val="single" w:color="auto" w:sz="8" w:space="0"/>
              <w:right w:val="single" w:color="auto" w:sz="8" w:space="0"/>
            </w:tcBorders>
            <w:noWrap w:val="0"/>
            <w:vAlign w:val="center"/>
          </w:tcPr>
          <w:p w14:paraId="681DE96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洗</w:t>
            </w:r>
          </w:p>
          <w:p w14:paraId="00DA713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手</w:t>
            </w:r>
          </w:p>
          <w:p w14:paraId="1219DB6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间</w:t>
            </w:r>
          </w:p>
          <w:p w14:paraId="2D81272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4B57B9D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玻璃镜面，大理石台面</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DFBE65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无破损、无污渍、无水渍、无堵塞、无积垢、无杂物、无积水</w:t>
            </w:r>
          </w:p>
        </w:tc>
      </w:tr>
      <w:tr w14:paraId="190BA33D">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071B82BE">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00076B2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小便器、坐厕、洗手盆</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6F7367E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全部无堵塞、无污物、无积垢、釉面光亮、无异味</w:t>
            </w:r>
          </w:p>
        </w:tc>
      </w:tr>
      <w:tr w14:paraId="050FB5CB">
        <w:tblPrEx>
          <w:tblCellMar>
            <w:top w:w="0" w:type="dxa"/>
            <w:left w:w="0" w:type="dxa"/>
            <w:bottom w:w="0" w:type="dxa"/>
            <w:right w:w="0" w:type="dxa"/>
          </w:tblCellMar>
        </w:tblPrEx>
        <w:trPr>
          <w:trHeight w:val="635"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5D0BC60F">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5C511F6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地面</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56C574B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地面无尿渍脏污、无积水、地板釉面砖色泽光亮、无异味</w:t>
            </w:r>
          </w:p>
        </w:tc>
      </w:tr>
      <w:tr w14:paraId="5088F983">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6C7E03CE">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3FEDBAE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洗手间隔板、手纸架、烘干机</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5348A4C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无灰尘、无污渍、无水渍、无蛛网、无脏污、无乱张贴涂画</w:t>
            </w:r>
          </w:p>
        </w:tc>
      </w:tr>
      <w:tr w14:paraId="1338902D">
        <w:tblPrEx>
          <w:tblCellMar>
            <w:top w:w="0" w:type="dxa"/>
            <w:left w:w="0" w:type="dxa"/>
            <w:bottom w:w="0" w:type="dxa"/>
            <w:right w:w="0" w:type="dxa"/>
          </w:tblCellMar>
        </w:tblPrEx>
        <w:trPr>
          <w:trHeight w:val="291"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1DE201A2">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0A72BA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纸篓</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731C6C5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及时清倒，垃圾不超过2/3</w:t>
            </w:r>
          </w:p>
        </w:tc>
      </w:tr>
      <w:tr w14:paraId="14A58C6F">
        <w:tblPrEx>
          <w:tblCellMar>
            <w:top w:w="0" w:type="dxa"/>
            <w:left w:w="0" w:type="dxa"/>
            <w:bottom w:w="0" w:type="dxa"/>
            <w:right w:w="0" w:type="dxa"/>
          </w:tblCellMar>
        </w:tblPrEx>
        <w:trPr>
          <w:trHeight w:val="834"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75FA3FC2">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2BF1E1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灯管、天花</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0FBA352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无蛛网、无灰尘、无污渍、无破损、正常工作、厕内光线充足</w:t>
            </w:r>
          </w:p>
        </w:tc>
      </w:tr>
      <w:tr w14:paraId="7ED90D3D">
        <w:tblPrEx>
          <w:tblCellMar>
            <w:top w:w="0" w:type="dxa"/>
            <w:left w:w="0" w:type="dxa"/>
            <w:bottom w:w="0" w:type="dxa"/>
            <w:right w:w="0" w:type="dxa"/>
          </w:tblCellMar>
        </w:tblPrEx>
        <w:trPr>
          <w:trHeight w:val="291" w:hRule="atLeast"/>
          <w:jc w:val="center"/>
        </w:trPr>
        <w:tc>
          <w:tcPr>
            <w:tcW w:w="1418" w:type="dxa"/>
            <w:vMerge w:val="restart"/>
            <w:tcBorders>
              <w:top w:val="single" w:color="auto" w:sz="8" w:space="0"/>
              <w:left w:val="single" w:color="auto" w:sz="8" w:space="0"/>
              <w:bottom w:val="single" w:color="auto" w:sz="8" w:space="0"/>
              <w:right w:val="single" w:color="auto" w:sz="8" w:space="0"/>
            </w:tcBorders>
            <w:noWrap w:val="0"/>
            <w:vAlign w:val="center"/>
          </w:tcPr>
          <w:p w14:paraId="58FAA39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外围及天台</w:t>
            </w:r>
          </w:p>
        </w:tc>
        <w:tc>
          <w:tcPr>
            <w:tcW w:w="2280" w:type="dxa"/>
            <w:tcBorders>
              <w:top w:val="single" w:color="auto" w:sz="8" w:space="0"/>
              <w:left w:val="single" w:color="auto" w:sz="8" w:space="0"/>
              <w:bottom w:val="single" w:color="auto" w:sz="8" w:space="0"/>
              <w:right w:val="single" w:color="auto" w:sz="8" w:space="0"/>
            </w:tcBorders>
            <w:noWrap w:val="0"/>
            <w:vAlign w:val="center"/>
          </w:tcPr>
          <w:p w14:paraId="60A1762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外围走道</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4F0593E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无杂物、无烟蒂等</w:t>
            </w:r>
          </w:p>
        </w:tc>
      </w:tr>
      <w:tr w14:paraId="4D78D712">
        <w:tblPrEx>
          <w:tblCellMar>
            <w:top w:w="0" w:type="dxa"/>
            <w:left w:w="0" w:type="dxa"/>
            <w:bottom w:w="0" w:type="dxa"/>
            <w:right w:w="0" w:type="dxa"/>
          </w:tblCellMar>
        </w:tblPrEx>
        <w:trPr>
          <w:trHeight w:val="291"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5C5D6DB6">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6652AE1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外围花园，围栏</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55302F8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无落叶、烟蒂、杂物等</w:t>
            </w:r>
          </w:p>
        </w:tc>
      </w:tr>
      <w:tr w14:paraId="2FCA9E76">
        <w:tblPrEx>
          <w:tblCellMar>
            <w:top w:w="0" w:type="dxa"/>
            <w:left w:w="0" w:type="dxa"/>
            <w:bottom w:w="0" w:type="dxa"/>
            <w:right w:w="0" w:type="dxa"/>
          </w:tblCellMar>
        </w:tblPrEx>
        <w:trPr>
          <w:trHeight w:val="834"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0E405A54">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4CDC4A1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各种水井、沙井、排水沟</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023339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保持通畅，无垃圾杂物、无积水、无异味、无烟蒂，井盖无明显污渍</w:t>
            </w:r>
          </w:p>
        </w:tc>
      </w:tr>
      <w:tr w14:paraId="772A0C52">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667C0FFA">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30A47F0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垃圾箱</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EC96EE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无尘渍、烟蒂、痰渍、异味等，无堆积溢出</w:t>
            </w:r>
          </w:p>
        </w:tc>
      </w:tr>
      <w:tr w14:paraId="6167276D">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195FE9BA">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41F54B1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天台</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3322337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保持清洁，无烟蒂，下水道通畅</w:t>
            </w:r>
          </w:p>
        </w:tc>
      </w:tr>
      <w:tr w14:paraId="3BBDD5CC">
        <w:tblPrEx>
          <w:tblCellMar>
            <w:top w:w="0" w:type="dxa"/>
            <w:left w:w="0" w:type="dxa"/>
            <w:bottom w:w="0" w:type="dxa"/>
            <w:right w:w="0" w:type="dxa"/>
          </w:tblCellMar>
        </w:tblPrEx>
        <w:trPr>
          <w:trHeight w:val="562" w:hRule="atLeast"/>
          <w:jc w:val="center"/>
        </w:trPr>
        <w:tc>
          <w:tcPr>
            <w:tcW w:w="1418" w:type="dxa"/>
            <w:vMerge w:val="restart"/>
            <w:tcBorders>
              <w:top w:val="single" w:color="auto" w:sz="8" w:space="0"/>
              <w:left w:val="single" w:color="auto" w:sz="8" w:space="0"/>
              <w:bottom w:val="single" w:color="auto" w:sz="8" w:space="0"/>
              <w:right w:val="single" w:color="auto" w:sz="8" w:space="0"/>
            </w:tcBorders>
            <w:noWrap w:val="0"/>
            <w:vAlign w:val="center"/>
          </w:tcPr>
          <w:p w14:paraId="683DE01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临床、医</w:t>
            </w:r>
          </w:p>
          <w:p w14:paraId="653FC50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p w14:paraId="74EEA8D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技科室</w:t>
            </w:r>
          </w:p>
        </w:tc>
        <w:tc>
          <w:tcPr>
            <w:tcW w:w="2280" w:type="dxa"/>
            <w:tcBorders>
              <w:top w:val="single" w:color="auto" w:sz="8" w:space="0"/>
              <w:left w:val="single" w:color="auto" w:sz="8" w:space="0"/>
              <w:bottom w:val="single" w:color="auto" w:sz="8" w:space="0"/>
              <w:right w:val="single" w:color="auto" w:sz="8" w:space="0"/>
            </w:tcBorders>
            <w:noWrap w:val="0"/>
            <w:vAlign w:val="center"/>
          </w:tcPr>
          <w:p w14:paraId="797B184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落实以上6个清洁项目</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6968AD1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达到以上清洁标准</w:t>
            </w:r>
          </w:p>
        </w:tc>
      </w:tr>
      <w:tr w14:paraId="613F43F1">
        <w:tblPrEx>
          <w:tblCellMar>
            <w:top w:w="0" w:type="dxa"/>
            <w:left w:w="0" w:type="dxa"/>
            <w:bottom w:w="0" w:type="dxa"/>
            <w:right w:w="0" w:type="dxa"/>
          </w:tblCellMar>
        </w:tblPrEx>
        <w:trPr>
          <w:trHeight w:val="1105"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49579257">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1E424DD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将病房污被服收至污衣间、与衣物收发员一起清点被服</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1994D71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及时收走病房污被服，保持病房整洁：</w:t>
            </w:r>
          </w:p>
          <w:p w14:paraId="080BE9C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每天送洗与回收被服数目相符</w:t>
            </w:r>
          </w:p>
        </w:tc>
      </w:tr>
      <w:tr w14:paraId="7123BFE3">
        <w:tblPrEx>
          <w:tblCellMar>
            <w:top w:w="0" w:type="dxa"/>
            <w:left w:w="0" w:type="dxa"/>
            <w:bottom w:w="0" w:type="dxa"/>
            <w:right w:w="0" w:type="dxa"/>
          </w:tblCellMar>
        </w:tblPrEx>
        <w:trPr>
          <w:trHeight w:val="834"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61B7B9E6">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38B27E9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负责为患者打开水、抹床头柜及病床卫生清理</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1BB87E5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每天至少打开水2次以上；床头柜、床单位擦拭1次/日，做到一桌（床）一巾一用一消毒</w:t>
            </w:r>
          </w:p>
        </w:tc>
      </w:tr>
      <w:tr w14:paraId="42A88F51">
        <w:tblPrEx>
          <w:tblCellMar>
            <w:top w:w="0" w:type="dxa"/>
            <w:left w:w="0" w:type="dxa"/>
            <w:bottom w:w="0" w:type="dxa"/>
            <w:right w:w="0" w:type="dxa"/>
          </w:tblCellMar>
        </w:tblPrEx>
        <w:trPr>
          <w:trHeight w:val="562"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5C8CDDDB">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3C968EE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与医废清运人员对接签名</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0E325B7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医疗废物按要求分类收集装好并对接签名</w:t>
            </w:r>
          </w:p>
        </w:tc>
      </w:tr>
      <w:tr w14:paraId="30FE03E8">
        <w:tblPrEx>
          <w:tblCellMar>
            <w:top w:w="0" w:type="dxa"/>
            <w:left w:w="0" w:type="dxa"/>
            <w:bottom w:w="0" w:type="dxa"/>
            <w:right w:w="0" w:type="dxa"/>
          </w:tblCellMar>
        </w:tblPrEx>
        <w:trPr>
          <w:trHeight w:val="311" w:hRule="atLeast"/>
          <w:jc w:val="center"/>
        </w:trPr>
        <w:tc>
          <w:tcPr>
            <w:tcW w:w="1418" w:type="dxa"/>
            <w:vMerge w:val="continue"/>
            <w:tcBorders>
              <w:top w:val="single" w:color="auto" w:sz="8" w:space="0"/>
              <w:left w:val="single" w:color="auto" w:sz="8" w:space="0"/>
              <w:bottom w:val="single" w:color="auto" w:sz="8" w:space="0"/>
              <w:right w:val="single" w:color="auto" w:sz="8" w:space="0"/>
            </w:tcBorders>
            <w:noWrap w:val="0"/>
            <w:vAlign w:val="center"/>
          </w:tcPr>
          <w:p w14:paraId="687F7F16">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2280" w:type="dxa"/>
            <w:tcBorders>
              <w:top w:val="single" w:color="auto" w:sz="8" w:space="0"/>
              <w:left w:val="single" w:color="auto" w:sz="8" w:space="0"/>
              <w:bottom w:val="single" w:color="auto" w:sz="8" w:space="0"/>
              <w:right w:val="single" w:color="auto" w:sz="8" w:space="0"/>
            </w:tcBorders>
            <w:noWrap w:val="0"/>
            <w:vAlign w:val="center"/>
          </w:tcPr>
          <w:p w14:paraId="0B8C82C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空调过滤网清洗</w:t>
            </w:r>
          </w:p>
        </w:tc>
        <w:tc>
          <w:tcPr>
            <w:tcW w:w="3337" w:type="dxa"/>
            <w:tcBorders>
              <w:top w:val="single" w:color="auto" w:sz="8" w:space="0"/>
              <w:left w:val="single" w:color="auto" w:sz="8" w:space="0"/>
              <w:bottom w:val="single" w:color="auto" w:sz="8" w:space="0"/>
              <w:right w:val="single" w:color="auto" w:sz="8" w:space="0"/>
            </w:tcBorders>
            <w:noWrap w:val="0"/>
            <w:vAlign w:val="center"/>
          </w:tcPr>
          <w:p w14:paraId="6E0EE13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每年清洗至少2次</w:t>
            </w:r>
          </w:p>
        </w:tc>
      </w:tr>
    </w:tbl>
    <w:p w14:paraId="3CE0AF71">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①</w:t>
      </w:r>
      <w:r>
        <w:rPr>
          <w:rFonts w:hint="eastAsia" w:ascii="宋体" w:hAnsi="宋体" w:eastAsia="宋体" w:cs="宋体"/>
          <w:sz w:val="24"/>
          <w:szCs w:val="24"/>
        </w:rPr>
        <w:fldChar w:fldCharType="end"/>
      </w:r>
      <w:r>
        <w:rPr>
          <w:rFonts w:hint="eastAsia" w:ascii="宋体" w:hAnsi="宋体" w:eastAsia="宋体" w:cs="宋体"/>
          <w:sz w:val="24"/>
          <w:szCs w:val="24"/>
        </w:rPr>
        <w:t>以上保洁工作所需用到的清洁用品、耗材、工具、固定资产等物料均由中标人提供及承担费用。</w:t>
      </w:r>
    </w:p>
    <w:p w14:paraId="74BDCF25">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②</w:t>
      </w:r>
      <w:r>
        <w:rPr>
          <w:rFonts w:hint="eastAsia" w:ascii="宋体" w:hAnsi="宋体" w:eastAsia="宋体" w:cs="宋体"/>
          <w:sz w:val="24"/>
          <w:szCs w:val="24"/>
        </w:rPr>
        <w:fldChar w:fldCharType="end"/>
      </w:r>
      <w:r>
        <w:rPr>
          <w:rFonts w:hint="eastAsia" w:ascii="宋体" w:hAnsi="宋体" w:eastAsia="宋体" w:cs="宋体"/>
          <w:sz w:val="24"/>
          <w:szCs w:val="24"/>
        </w:rPr>
        <w:t>公共厕所所需的大卷纸、洗手液、皂液机由采购人提供。</w:t>
      </w:r>
    </w:p>
    <w:p w14:paraId="04F543B4">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③</w:t>
      </w:r>
      <w:r>
        <w:rPr>
          <w:rFonts w:hint="eastAsia" w:ascii="宋体" w:hAnsi="宋体" w:eastAsia="宋体" w:cs="宋体"/>
          <w:sz w:val="24"/>
          <w:szCs w:val="24"/>
        </w:rPr>
        <w:fldChar w:fldCharType="end"/>
      </w:r>
      <w:r>
        <w:rPr>
          <w:rFonts w:hint="eastAsia" w:ascii="宋体" w:hAnsi="宋体" w:eastAsia="宋体" w:cs="宋体"/>
          <w:sz w:val="24"/>
          <w:szCs w:val="24"/>
        </w:rPr>
        <w:t>医疗废物按照《医疗废物管理条例》《医疗卫生机构医疗废物管理办法》《医疗废物包装物、容器标准和标识》及《医疗废物分类目录》要求分类收集、运输、存放，各类废物无混放、溢出或泄露情况。医疗废物专用包装容器，警示标示符合要求，一次性医疗废物专用容器（如锐器盒等）无复用。医疗废物由医院专人定时、定线使用密封容器进行收集、运送，不污染环境。医疗废物运送人员应做好个人防护。医疗废物交接登记内容完善，登记资料齐全。按照上级要求统计上报医疗废物数据。每天至少2次将医疗废物从科室或部门清运至医疗废物暂存点，手术室、检验科、重症医学科等部门产生医疗废物的收集运送每天不得少于4次，如遇特殊情况，科室或部门提出清运要求，必须立即响应。</w:t>
      </w:r>
    </w:p>
    <w:p w14:paraId="1BF61D9B">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④</w:t>
      </w:r>
      <w:r>
        <w:rPr>
          <w:rFonts w:hint="eastAsia" w:ascii="宋体" w:hAnsi="宋体" w:eastAsia="宋体" w:cs="宋体"/>
          <w:sz w:val="24"/>
          <w:szCs w:val="24"/>
        </w:rPr>
        <w:fldChar w:fldCharType="end"/>
      </w:r>
      <w:r>
        <w:rPr>
          <w:rFonts w:hint="eastAsia" w:ascii="宋体" w:hAnsi="宋体" w:eastAsia="宋体" w:cs="宋体"/>
          <w:sz w:val="24"/>
          <w:szCs w:val="24"/>
        </w:rPr>
        <w:t>医疗垃圾转运人员的培训考核及医疗垃圾暂存点、转运车的消杀均按院感要求执行。</w:t>
      </w:r>
    </w:p>
    <w:p w14:paraId="245D9858">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5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⑤</w:t>
      </w:r>
      <w:r>
        <w:rPr>
          <w:rFonts w:hint="eastAsia" w:ascii="宋体" w:hAnsi="宋体" w:eastAsia="宋体" w:cs="宋体"/>
          <w:sz w:val="24"/>
          <w:szCs w:val="24"/>
        </w:rPr>
        <w:fldChar w:fldCharType="end"/>
      </w:r>
      <w:r>
        <w:rPr>
          <w:rFonts w:hint="eastAsia" w:ascii="宋体" w:hAnsi="宋体" w:eastAsia="宋体" w:cs="宋体"/>
          <w:sz w:val="24"/>
          <w:szCs w:val="24"/>
        </w:rPr>
        <w:t xml:space="preserve">严禁工作人员私自收集、转让、倒卖医疗废物。严禁在非收集、非暂存点倾倒、堆放医疗废物，严禁将医疗废物混入其他废物及生活垃圾。 </w:t>
      </w:r>
    </w:p>
    <w:p w14:paraId="199CF16A">
      <w:pPr>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6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⑥</w:t>
      </w:r>
      <w:r>
        <w:rPr>
          <w:rFonts w:hint="eastAsia" w:ascii="宋体" w:hAnsi="宋体" w:eastAsia="宋体" w:cs="宋体"/>
          <w:sz w:val="24"/>
          <w:szCs w:val="24"/>
        </w:rPr>
        <w:fldChar w:fldCharType="end"/>
      </w:r>
      <w:r>
        <w:rPr>
          <w:rFonts w:hint="eastAsia" w:ascii="宋体" w:hAnsi="宋体" w:eastAsia="宋体" w:cs="宋体"/>
          <w:sz w:val="24"/>
          <w:szCs w:val="24"/>
        </w:rPr>
        <w:t>严禁工作人员私自收集和倒卖医院内产生的可回收生活垃圾，不得堆积存放，做到日产日清。</w:t>
      </w:r>
    </w:p>
    <w:p w14:paraId="6FFA57D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3.设施设备管理服务</w:t>
      </w:r>
    </w:p>
    <w:p w14:paraId="40C2BF38">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（1）服务范围</w:t>
      </w:r>
    </w:p>
    <w:p w14:paraId="69731D9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1）供配电系统：高低压配电运行值班，线路维护等并形成记录。</w:t>
      </w:r>
    </w:p>
    <w:p w14:paraId="78F70514">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2）给排水系统：包括水泵、管道的运行维护，供水从市政给水点到供水终端，包括水龙头、花洒等。</w:t>
      </w:r>
    </w:p>
    <w:p w14:paraId="138C5017">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3）保证生活用水供应。</w:t>
      </w:r>
    </w:p>
    <w:p w14:paraId="37AD26E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4）柴油发电机组系统的日常维护保养，每月进行运行测试，形成记录。</w:t>
      </w:r>
    </w:p>
    <w:p w14:paraId="5C7E195F">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5）包括门窗、照明、办公家具、床、柜、排气扇、锁等物件的日常安装、维修。</w:t>
      </w:r>
    </w:p>
    <w:p w14:paraId="3EEC9BA0">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6）包括分体空调、家电、直饮水系统等公共设施和室内设施设备的日常维修、维护管理。</w:t>
      </w:r>
    </w:p>
    <w:p w14:paraId="18B4C91C">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7）每日巡逻观测房屋、墙体情况，发现问题及时上报医院相关部门（不包含建筑本体改造修缮及设施设备大修）。</w:t>
      </w:r>
    </w:p>
    <w:p w14:paraId="50F67AC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8）及时收集全院范围内机电工程系统的服务需求，完成指派、进度跟踪、完成反馈、回访等工作。</w:t>
      </w:r>
    </w:p>
    <w:p w14:paraId="2BE68E0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9）单项单价</w:t>
      </w:r>
      <w:r>
        <w:rPr>
          <w:rFonts w:hint="eastAsia" w:ascii="宋体" w:hAnsi="宋体" w:eastAsia="宋体" w:cs="宋体"/>
          <w:sz w:val="24"/>
          <w:szCs w:val="24"/>
          <w:lang w:val="en-US" w:eastAsia="zh-CN"/>
        </w:rPr>
        <w:t>5</w:t>
      </w:r>
      <w:r>
        <w:rPr>
          <w:rFonts w:hint="eastAsia" w:ascii="宋体" w:hAnsi="宋体" w:eastAsia="宋体" w:cs="宋体"/>
          <w:sz w:val="24"/>
          <w:szCs w:val="24"/>
        </w:rPr>
        <w:t>00元(含)以下的维修费，由中标物业公司承担和实施，</w:t>
      </w:r>
      <w:r>
        <w:rPr>
          <w:rFonts w:hint="eastAsia" w:ascii="宋体" w:hAnsi="宋体" w:eastAsia="宋体" w:cs="宋体"/>
          <w:sz w:val="24"/>
          <w:szCs w:val="24"/>
          <w:lang w:val="en-US" w:eastAsia="zh-CN"/>
        </w:rPr>
        <w:t>5</w:t>
      </w:r>
      <w:r>
        <w:rPr>
          <w:rFonts w:hint="eastAsia" w:ascii="宋体" w:hAnsi="宋体" w:eastAsia="宋体" w:cs="宋体"/>
          <w:sz w:val="24"/>
          <w:szCs w:val="24"/>
        </w:rPr>
        <w:t>00元以上的维修费用由采购单位承担。</w:t>
      </w:r>
    </w:p>
    <w:p w14:paraId="627FC235">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10）及时提供设施设备的维修服务、抢修服务及各种应急事件的处理。</w:t>
      </w:r>
    </w:p>
    <w:p w14:paraId="3A19FA1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11）协助医院做好公共卫生突发事件防控相关工作,参与防控相关培训讲座，具体操作实施细则以院感要求为准。</w:t>
      </w:r>
    </w:p>
    <w:p w14:paraId="2180A4E0">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12）合同履约过程中，因法律法规及工作需要进行调整的服务内容及工作范围，中标人需无条件接受。</w:t>
      </w:r>
    </w:p>
    <w:p w14:paraId="39169050">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（2）服务要求</w:t>
      </w:r>
    </w:p>
    <w:p w14:paraId="58E74D67">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1）对公共区域资产要做到定期巡查，设立专人管理，24小时值班，保证公共设施设备正常运行。</w:t>
      </w:r>
    </w:p>
    <w:p w14:paraId="4B2627D7">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2）保证供水、供电及运行安全。</w:t>
      </w:r>
    </w:p>
    <w:p w14:paraId="280F815E">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3）办公家具、公共门窗牢固、平整、美观、无锈蚀、开关灵活、接缝严密，不松动，门窗及门窗配件齐全。</w:t>
      </w:r>
    </w:p>
    <w:p w14:paraId="730AF86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4）确保医院机电设备安全、稳定、持续运行，定期保养延长设备的使用寿命，发现问题及时上报并跟踪。</w:t>
      </w:r>
    </w:p>
    <w:p w14:paraId="484ED275">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5）机电工程服务人员必须持证上岗，人员技术队伍配备合理。</w:t>
      </w:r>
    </w:p>
    <w:p w14:paraId="1336688C">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6）配合医院开展节能降耗，有具体可行节水节电等节能措施；日常进行节能巡查工作并形成节能巡查整改台账。</w:t>
      </w:r>
    </w:p>
    <w:p w14:paraId="6B6EE006">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7）对电梯机房、配电房、消防水泵房、生活水泵房、UPS电源房等公共区域设备每日不低于两次巡查，形成日常巡查记录。</w:t>
      </w:r>
    </w:p>
    <w:p w14:paraId="68AC88BA">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8）设施设备运行操作须有规范文件，并有检查考评等各项制度、台账。</w:t>
      </w:r>
    </w:p>
    <w:p w14:paraId="53234CA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9）按照院感办要求进行公共卫生突发事件防控相关工作需及时、准确、有效，参与防控相关培训讲座后相关考评须合格。 </w:t>
      </w:r>
    </w:p>
    <w:p w14:paraId="21F6805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（3）服务标准</w:t>
      </w:r>
    </w:p>
    <w:tbl>
      <w:tblPr>
        <w:tblStyle w:val="5"/>
        <w:tblW w:w="6170" w:type="dxa"/>
        <w:jc w:val="center"/>
        <w:tblLayout w:type="fixed"/>
        <w:tblCellMar>
          <w:top w:w="0" w:type="dxa"/>
          <w:left w:w="0" w:type="dxa"/>
          <w:bottom w:w="0" w:type="dxa"/>
          <w:right w:w="0" w:type="dxa"/>
        </w:tblCellMar>
      </w:tblPr>
      <w:tblGrid>
        <w:gridCol w:w="638"/>
        <w:gridCol w:w="976"/>
        <w:gridCol w:w="1788"/>
        <w:gridCol w:w="2768"/>
      </w:tblGrid>
      <w:tr w14:paraId="4A11FB1D">
        <w:tblPrEx>
          <w:tblCellMar>
            <w:top w:w="0" w:type="dxa"/>
            <w:left w:w="0" w:type="dxa"/>
            <w:bottom w:w="0" w:type="dxa"/>
            <w:right w:w="0" w:type="dxa"/>
          </w:tblCellMar>
        </w:tblPrEx>
        <w:trPr>
          <w:trHeight w:val="289" w:hRule="atLeast"/>
          <w:jc w:val="center"/>
        </w:trPr>
        <w:tc>
          <w:tcPr>
            <w:tcW w:w="638" w:type="dxa"/>
            <w:vMerge w:val="restart"/>
            <w:tcBorders>
              <w:top w:val="single" w:color="auto" w:sz="4" w:space="0"/>
              <w:left w:val="single" w:color="auto" w:sz="4" w:space="0"/>
              <w:bottom w:val="single" w:color="auto" w:sz="4" w:space="0"/>
              <w:right w:val="single" w:color="auto" w:sz="4" w:space="0"/>
            </w:tcBorders>
            <w:noWrap w:val="0"/>
            <w:vAlign w:val="center"/>
          </w:tcPr>
          <w:p w14:paraId="5C60193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976" w:type="dxa"/>
            <w:vMerge w:val="restart"/>
            <w:tcBorders>
              <w:top w:val="single" w:color="auto" w:sz="4" w:space="0"/>
              <w:left w:val="single" w:color="auto" w:sz="4" w:space="0"/>
              <w:bottom w:val="single" w:color="auto" w:sz="4" w:space="0"/>
              <w:right w:val="single" w:color="auto" w:sz="4" w:space="0"/>
            </w:tcBorders>
            <w:noWrap w:val="0"/>
            <w:vAlign w:val="center"/>
          </w:tcPr>
          <w:p w14:paraId="653A91F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项目</w:t>
            </w:r>
          </w:p>
        </w:tc>
        <w:tc>
          <w:tcPr>
            <w:tcW w:w="4556" w:type="dxa"/>
            <w:gridSpan w:val="2"/>
            <w:tcBorders>
              <w:top w:val="single" w:color="auto" w:sz="4" w:space="0"/>
              <w:left w:val="single" w:color="auto" w:sz="4" w:space="0"/>
              <w:bottom w:val="single" w:color="auto" w:sz="4" w:space="0"/>
              <w:right w:val="single" w:color="auto" w:sz="4" w:space="0"/>
            </w:tcBorders>
            <w:noWrap w:val="0"/>
            <w:vAlign w:val="center"/>
          </w:tcPr>
          <w:p w14:paraId="0B87A88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工作内容</w:t>
            </w:r>
          </w:p>
        </w:tc>
      </w:tr>
      <w:tr w14:paraId="01C7616B">
        <w:tblPrEx>
          <w:tblCellMar>
            <w:top w:w="0" w:type="dxa"/>
            <w:left w:w="0" w:type="dxa"/>
            <w:bottom w:w="0" w:type="dxa"/>
            <w:right w:w="0" w:type="dxa"/>
          </w:tblCellMar>
        </w:tblPrEx>
        <w:trPr>
          <w:trHeight w:val="280"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4413CBA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vMerge w:val="continue"/>
            <w:tcBorders>
              <w:top w:val="single" w:color="auto" w:sz="4" w:space="0"/>
              <w:left w:val="single" w:color="auto" w:sz="4" w:space="0"/>
              <w:bottom w:val="single" w:color="auto" w:sz="4" w:space="0"/>
              <w:right w:val="single" w:color="auto" w:sz="4" w:space="0"/>
            </w:tcBorders>
            <w:noWrap w:val="0"/>
            <w:vAlign w:val="center"/>
          </w:tcPr>
          <w:p w14:paraId="7C42F4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single" w:color="auto" w:sz="4" w:space="0"/>
            </w:tcBorders>
            <w:noWrap w:val="0"/>
            <w:vAlign w:val="center"/>
          </w:tcPr>
          <w:p w14:paraId="2D29C2D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日常运行</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5F9FB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定期保养</w:t>
            </w:r>
          </w:p>
        </w:tc>
      </w:tr>
      <w:tr w14:paraId="7208F1A5">
        <w:tblPrEx>
          <w:tblCellMar>
            <w:top w:w="0" w:type="dxa"/>
            <w:left w:w="0" w:type="dxa"/>
            <w:bottom w:w="0" w:type="dxa"/>
            <w:right w:w="0" w:type="dxa"/>
          </w:tblCellMar>
        </w:tblPrEx>
        <w:trPr>
          <w:trHeight w:val="559" w:hRule="atLeast"/>
          <w:jc w:val="center"/>
        </w:trPr>
        <w:tc>
          <w:tcPr>
            <w:tcW w:w="638" w:type="dxa"/>
            <w:vMerge w:val="restart"/>
            <w:tcBorders>
              <w:top w:val="single" w:color="auto" w:sz="4" w:space="0"/>
              <w:left w:val="single" w:color="auto" w:sz="4" w:space="0"/>
              <w:bottom w:val="single" w:color="auto" w:sz="4" w:space="0"/>
              <w:right w:val="single" w:color="auto" w:sz="4" w:space="0"/>
            </w:tcBorders>
            <w:noWrap w:val="0"/>
            <w:vAlign w:val="center"/>
          </w:tcPr>
          <w:p w14:paraId="6496136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供电</w:t>
            </w:r>
          </w:p>
          <w:p w14:paraId="770A47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p w14:paraId="47F283D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775E917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高压配电</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04A4C6C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检查运行情况并记录在案</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79C79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表面清洁、绝缘检测</w:t>
            </w:r>
          </w:p>
        </w:tc>
      </w:tr>
      <w:tr w14:paraId="176B160F">
        <w:tblPrEx>
          <w:tblCellMar>
            <w:top w:w="0" w:type="dxa"/>
            <w:left w:w="0" w:type="dxa"/>
            <w:bottom w:w="0" w:type="dxa"/>
            <w:right w:w="0" w:type="dxa"/>
          </w:tblCellMar>
        </w:tblPrEx>
        <w:trPr>
          <w:trHeight w:val="1100"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035F673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226F83F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低压配电系统</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517CD74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检查运行情况并记录在案</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A38D52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触头、母线、开关表面清洁、绝缘检测、开关内部联动试验</w:t>
            </w:r>
          </w:p>
        </w:tc>
      </w:tr>
      <w:tr w14:paraId="21F6FED3">
        <w:tblPrEx>
          <w:tblCellMar>
            <w:top w:w="0" w:type="dxa"/>
            <w:left w:w="0" w:type="dxa"/>
            <w:bottom w:w="0" w:type="dxa"/>
            <w:right w:w="0" w:type="dxa"/>
          </w:tblCellMar>
        </w:tblPrEx>
        <w:trPr>
          <w:trHeight w:val="559"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5167E31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vMerge w:val="restart"/>
            <w:tcBorders>
              <w:top w:val="single" w:color="auto" w:sz="4" w:space="0"/>
              <w:left w:val="single" w:color="auto" w:sz="4" w:space="0"/>
              <w:bottom w:val="single" w:color="auto" w:sz="4" w:space="0"/>
              <w:right w:val="single" w:color="auto" w:sz="4" w:space="0"/>
            </w:tcBorders>
            <w:noWrap w:val="0"/>
            <w:vAlign w:val="center"/>
          </w:tcPr>
          <w:p w14:paraId="113F5C3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应急发电机</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694813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检查运行情况并记录在案</w:t>
            </w:r>
          </w:p>
        </w:tc>
        <w:tc>
          <w:tcPr>
            <w:tcW w:w="2768" w:type="dxa"/>
            <w:vMerge w:val="restart"/>
            <w:tcBorders>
              <w:top w:val="single" w:color="auto" w:sz="4" w:space="0"/>
              <w:left w:val="single" w:color="auto" w:sz="4" w:space="0"/>
              <w:bottom w:val="single" w:color="auto" w:sz="4" w:space="0"/>
              <w:right w:val="single" w:color="auto" w:sz="4" w:space="0"/>
            </w:tcBorders>
            <w:noWrap w:val="0"/>
            <w:vAlign w:val="center"/>
          </w:tcPr>
          <w:p w14:paraId="36BB15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冷却水、柴油量、机油量、电瓶 、润滑油、柴油滤清器、机油滤清器、空气滤清器、外观</w:t>
            </w:r>
          </w:p>
        </w:tc>
      </w:tr>
      <w:tr w14:paraId="0E295F2A">
        <w:tblPrEx>
          <w:tblCellMar>
            <w:top w:w="0" w:type="dxa"/>
            <w:left w:w="0" w:type="dxa"/>
            <w:bottom w:w="0" w:type="dxa"/>
            <w:right w:w="0" w:type="dxa"/>
          </w:tblCellMar>
        </w:tblPrEx>
        <w:trPr>
          <w:trHeight w:val="559"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45EC15B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vMerge w:val="continue"/>
            <w:tcBorders>
              <w:top w:val="single" w:color="auto" w:sz="4" w:space="0"/>
              <w:left w:val="single" w:color="auto" w:sz="4" w:space="0"/>
              <w:bottom w:val="single" w:color="auto" w:sz="4" w:space="0"/>
              <w:right w:val="single" w:color="auto" w:sz="4" w:space="0"/>
            </w:tcBorders>
            <w:noWrap w:val="0"/>
            <w:vAlign w:val="center"/>
          </w:tcPr>
          <w:p w14:paraId="636C30A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single" w:color="auto" w:sz="4" w:space="0"/>
            </w:tcBorders>
            <w:noWrap w:val="0"/>
            <w:vAlign w:val="center"/>
          </w:tcPr>
          <w:p w14:paraId="3462ADD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带负载试运行并记录在案</w:t>
            </w:r>
          </w:p>
        </w:tc>
        <w:tc>
          <w:tcPr>
            <w:tcW w:w="2768" w:type="dxa"/>
            <w:vMerge w:val="continue"/>
            <w:tcBorders>
              <w:top w:val="single" w:color="auto" w:sz="4" w:space="0"/>
              <w:left w:val="single" w:color="auto" w:sz="4" w:space="0"/>
              <w:bottom w:val="single" w:color="auto" w:sz="4" w:space="0"/>
              <w:right w:val="single" w:color="auto" w:sz="4" w:space="0"/>
            </w:tcBorders>
            <w:noWrap w:val="0"/>
            <w:vAlign w:val="center"/>
          </w:tcPr>
          <w:p w14:paraId="08CC409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r>
      <w:tr w14:paraId="657F2457">
        <w:tblPrEx>
          <w:tblCellMar>
            <w:top w:w="0" w:type="dxa"/>
            <w:left w:w="0" w:type="dxa"/>
            <w:bottom w:w="0" w:type="dxa"/>
            <w:right w:w="0" w:type="dxa"/>
          </w:tblCellMar>
        </w:tblPrEx>
        <w:trPr>
          <w:trHeight w:val="559"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45C6634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vMerge w:val="continue"/>
            <w:tcBorders>
              <w:top w:val="single" w:color="auto" w:sz="4" w:space="0"/>
              <w:left w:val="single" w:color="auto" w:sz="4" w:space="0"/>
              <w:bottom w:val="single" w:color="auto" w:sz="4" w:space="0"/>
              <w:right w:val="single" w:color="auto" w:sz="4" w:space="0"/>
            </w:tcBorders>
            <w:noWrap w:val="0"/>
            <w:vAlign w:val="center"/>
          </w:tcPr>
          <w:p w14:paraId="391B6B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1788" w:type="dxa"/>
            <w:tcBorders>
              <w:top w:val="single" w:color="auto" w:sz="4" w:space="0"/>
              <w:left w:val="single" w:color="auto" w:sz="4" w:space="0"/>
              <w:bottom w:val="single" w:color="auto" w:sz="4" w:space="0"/>
              <w:right w:val="single" w:color="auto" w:sz="4" w:space="0"/>
            </w:tcBorders>
            <w:noWrap w:val="0"/>
            <w:vAlign w:val="center"/>
          </w:tcPr>
          <w:p w14:paraId="58611C1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空载试运行并记录在案</w:t>
            </w:r>
          </w:p>
        </w:tc>
        <w:tc>
          <w:tcPr>
            <w:tcW w:w="2768" w:type="dxa"/>
            <w:vMerge w:val="continue"/>
            <w:tcBorders>
              <w:top w:val="single" w:color="auto" w:sz="4" w:space="0"/>
              <w:left w:val="single" w:color="auto" w:sz="4" w:space="0"/>
              <w:bottom w:val="single" w:color="auto" w:sz="4" w:space="0"/>
              <w:right w:val="single" w:color="auto" w:sz="4" w:space="0"/>
            </w:tcBorders>
            <w:noWrap w:val="0"/>
            <w:vAlign w:val="center"/>
          </w:tcPr>
          <w:p w14:paraId="60D039A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r>
      <w:tr w14:paraId="60137D94">
        <w:tblPrEx>
          <w:tblCellMar>
            <w:top w:w="0" w:type="dxa"/>
            <w:left w:w="0" w:type="dxa"/>
            <w:bottom w:w="0" w:type="dxa"/>
            <w:right w:w="0" w:type="dxa"/>
          </w:tblCellMar>
        </w:tblPrEx>
        <w:trPr>
          <w:trHeight w:val="559"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7E9D220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2CDFF03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电线维护</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7DAB5FC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检查运行情况并记录在案</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9FB0FC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表面清洁、绝缘检测</w:t>
            </w:r>
          </w:p>
        </w:tc>
      </w:tr>
      <w:tr w14:paraId="5B513D5B">
        <w:tblPrEx>
          <w:tblCellMar>
            <w:top w:w="0" w:type="dxa"/>
            <w:left w:w="0" w:type="dxa"/>
            <w:bottom w:w="0" w:type="dxa"/>
            <w:right w:w="0" w:type="dxa"/>
          </w:tblCellMar>
        </w:tblPrEx>
        <w:trPr>
          <w:trHeight w:val="559" w:hRule="atLeast"/>
          <w:jc w:val="center"/>
        </w:trPr>
        <w:tc>
          <w:tcPr>
            <w:tcW w:w="638" w:type="dxa"/>
            <w:vMerge w:val="restart"/>
            <w:tcBorders>
              <w:top w:val="single" w:color="auto" w:sz="4" w:space="0"/>
              <w:left w:val="single" w:color="auto" w:sz="4" w:space="0"/>
              <w:bottom w:val="single" w:color="auto" w:sz="4" w:space="0"/>
              <w:right w:val="single" w:color="auto" w:sz="4" w:space="0"/>
            </w:tcBorders>
            <w:noWrap w:val="0"/>
            <w:vAlign w:val="center"/>
          </w:tcPr>
          <w:p w14:paraId="288AFB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供水</w:t>
            </w:r>
          </w:p>
          <w:p w14:paraId="68A7D6B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0B7251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生活水泵</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555A2AE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检查运行情况并记录在案</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A07EDF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润滑、外观、电气绝缘、水压力检测</w:t>
            </w:r>
          </w:p>
        </w:tc>
      </w:tr>
      <w:tr w14:paraId="6E70C0AD">
        <w:tblPrEx>
          <w:tblCellMar>
            <w:top w:w="0" w:type="dxa"/>
            <w:left w:w="0" w:type="dxa"/>
            <w:bottom w:w="0" w:type="dxa"/>
            <w:right w:w="0" w:type="dxa"/>
          </w:tblCellMar>
        </w:tblPrEx>
        <w:trPr>
          <w:trHeight w:val="559"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7C4E02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648173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管道阀门</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3B50491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开关检查，并记录在案</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8A99C7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润滑、外观、水压力检测</w:t>
            </w:r>
          </w:p>
        </w:tc>
      </w:tr>
      <w:tr w14:paraId="1404549E">
        <w:tblPrEx>
          <w:tblCellMar>
            <w:top w:w="0" w:type="dxa"/>
            <w:left w:w="0" w:type="dxa"/>
            <w:bottom w:w="0" w:type="dxa"/>
            <w:right w:w="0" w:type="dxa"/>
          </w:tblCellMar>
        </w:tblPrEx>
        <w:trPr>
          <w:trHeight w:val="1098" w:hRule="atLeast"/>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30CF6D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电梯</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0644FD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电梯运行</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34B08E1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检查运行情况并记录在案</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B258F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轿厢、电梯井清洁、照明维护采购人委托专业公司维护保养</w:t>
            </w:r>
          </w:p>
        </w:tc>
      </w:tr>
      <w:tr w14:paraId="78220A2D">
        <w:tblPrEx>
          <w:tblCellMar>
            <w:top w:w="0" w:type="dxa"/>
            <w:left w:w="0" w:type="dxa"/>
            <w:bottom w:w="0" w:type="dxa"/>
            <w:right w:w="0" w:type="dxa"/>
          </w:tblCellMar>
        </w:tblPrEx>
        <w:trPr>
          <w:trHeight w:val="829" w:hRule="atLeast"/>
          <w:jc w:val="center"/>
        </w:trPr>
        <w:tc>
          <w:tcPr>
            <w:tcW w:w="638" w:type="dxa"/>
            <w:vMerge w:val="restart"/>
            <w:tcBorders>
              <w:top w:val="single" w:color="auto" w:sz="4" w:space="0"/>
              <w:left w:val="single" w:color="auto" w:sz="4" w:space="0"/>
              <w:bottom w:val="single" w:color="auto" w:sz="4" w:space="0"/>
              <w:right w:val="single" w:color="auto" w:sz="4" w:space="0"/>
            </w:tcBorders>
            <w:noWrap w:val="0"/>
            <w:vAlign w:val="center"/>
          </w:tcPr>
          <w:p w14:paraId="39A9BFB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消火栓</w:t>
            </w:r>
          </w:p>
          <w:p w14:paraId="56F2EE2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灭火器</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2D8F6A7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水泵、管道</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75C0AF6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泵体、电机试运行、即时维修</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E2F285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外观、润滑、电气绝缘、气密检测、外观、压力检测</w:t>
            </w:r>
          </w:p>
        </w:tc>
      </w:tr>
      <w:tr w14:paraId="60AC3B42">
        <w:tblPrEx>
          <w:tblCellMar>
            <w:top w:w="0" w:type="dxa"/>
            <w:left w:w="0" w:type="dxa"/>
            <w:bottom w:w="0" w:type="dxa"/>
            <w:right w:w="0" w:type="dxa"/>
          </w:tblCellMar>
        </w:tblPrEx>
        <w:trPr>
          <w:trHeight w:val="829"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6F222EC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6F89755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消火栓、灭火器</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46BA067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按要求检查</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70B1F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按要求保养形成检查记录</w:t>
            </w:r>
          </w:p>
        </w:tc>
      </w:tr>
      <w:tr w14:paraId="132AD2BC">
        <w:tblPrEx>
          <w:tblCellMar>
            <w:top w:w="0" w:type="dxa"/>
            <w:left w:w="0" w:type="dxa"/>
            <w:bottom w:w="0" w:type="dxa"/>
            <w:right w:w="0" w:type="dxa"/>
          </w:tblCellMar>
        </w:tblPrEx>
        <w:trPr>
          <w:trHeight w:val="559" w:hRule="atLeast"/>
          <w:jc w:val="center"/>
        </w:trPr>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313038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自动消防系统</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621B1E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检查运行情况并记录在案</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302EE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采购人委托专业公司维护保养</w:t>
            </w:r>
          </w:p>
        </w:tc>
      </w:tr>
      <w:tr w14:paraId="02654474">
        <w:tblPrEx>
          <w:tblCellMar>
            <w:top w:w="0" w:type="dxa"/>
            <w:left w:w="0" w:type="dxa"/>
            <w:bottom w:w="0" w:type="dxa"/>
            <w:right w:w="0" w:type="dxa"/>
          </w:tblCellMar>
        </w:tblPrEx>
        <w:trPr>
          <w:trHeight w:val="559" w:hRule="atLeast"/>
          <w:jc w:val="center"/>
        </w:trPr>
        <w:tc>
          <w:tcPr>
            <w:tcW w:w="638" w:type="dxa"/>
            <w:vMerge w:val="restart"/>
            <w:tcBorders>
              <w:top w:val="single" w:color="auto" w:sz="4" w:space="0"/>
              <w:left w:val="single" w:color="auto" w:sz="4" w:space="0"/>
              <w:bottom w:val="single" w:color="auto" w:sz="4" w:space="0"/>
              <w:right w:val="single" w:color="auto" w:sz="4" w:space="0"/>
            </w:tcBorders>
            <w:noWrap w:val="0"/>
            <w:vAlign w:val="center"/>
          </w:tcPr>
          <w:p w14:paraId="389CC0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强电</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489AD3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照明</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554362E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即时维修</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74D704D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外观、电气绝缘检测</w:t>
            </w:r>
          </w:p>
        </w:tc>
      </w:tr>
      <w:tr w14:paraId="3460B884">
        <w:tblPrEx>
          <w:tblCellMar>
            <w:top w:w="0" w:type="dxa"/>
            <w:left w:w="0" w:type="dxa"/>
            <w:bottom w:w="0" w:type="dxa"/>
            <w:right w:w="0" w:type="dxa"/>
          </w:tblCellMar>
        </w:tblPrEx>
        <w:trPr>
          <w:trHeight w:val="559"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151795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5BDDA05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排气扇</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0A325D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即时维修</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00D7A7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外观、润滑、电气绝缘检测</w:t>
            </w:r>
          </w:p>
        </w:tc>
      </w:tr>
      <w:tr w14:paraId="53F2DBB8">
        <w:tblPrEx>
          <w:tblCellMar>
            <w:top w:w="0" w:type="dxa"/>
            <w:left w:w="0" w:type="dxa"/>
            <w:bottom w:w="0" w:type="dxa"/>
            <w:right w:w="0" w:type="dxa"/>
          </w:tblCellMar>
        </w:tblPrEx>
        <w:trPr>
          <w:trHeight w:val="559" w:hRule="atLeast"/>
          <w:jc w:val="center"/>
        </w:trPr>
        <w:tc>
          <w:tcPr>
            <w:tcW w:w="638" w:type="dxa"/>
            <w:vMerge w:val="restart"/>
            <w:tcBorders>
              <w:top w:val="single" w:color="auto" w:sz="4" w:space="0"/>
              <w:left w:val="single" w:color="auto" w:sz="4" w:space="0"/>
              <w:bottom w:val="single" w:color="auto" w:sz="4" w:space="0"/>
              <w:right w:val="single" w:color="auto" w:sz="4" w:space="0"/>
            </w:tcBorders>
            <w:noWrap w:val="0"/>
            <w:vAlign w:val="center"/>
          </w:tcPr>
          <w:p w14:paraId="2AE03D5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建筑维护</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747434C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门窗</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199B645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即时维修</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4C791A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外观、润滑检测</w:t>
            </w:r>
          </w:p>
        </w:tc>
      </w:tr>
      <w:tr w14:paraId="067098DC">
        <w:tblPrEx>
          <w:tblCellMar>
            <w:top w:w="0" w:type="dxa"/>
            <w:left w:w="0" w:type="dxa"/>
            <w:bottom w:w="0" w:type="dxa"/>
            <w:right w:w="0" w:type="dxa"/>
          </w:tblCellMar>
        </w:tblPrEx>
        <w:trPr>
          <w:trHeight w:val="559"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45AA7A2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456C717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办公家具</w:t>
            </w:r>
          </w:p>
        </w:tc>
        <w:tc>
          <w:tcPr>
            <w:tcW w:w="1788" w:type="dxa"/>
            <w:tcBorders>
              <w:top w:val="single" w:color="auto" w:sz="4" w:space="0"/>
              <w:left w:val="single" w:color="auto" w:sz="4" w:space="0"/>
              <w:bottom w:val="single" w:color="auto" w:sz="4" w:space="0"/>
              <w:right w:val="single" w:color="auto" w:sz="4" w:space="0"/>
            </w:tcBorders>
            <w:noWrap w:val="0"/>
            <w:vAlign w:val="center"/>
          </w:tcPr>
          <w:p w14:paraId="721520B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即时维修</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D64092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外观、紧固检测</w:t>
            </w:r>
          </w:p>
        </w:tc>
      </w:tr>
      <w:tr w14:paraId="5478DC26">
        <w:tblPrEx>
          <w:tblCellMar>
            <w:top w:w="0" w:type="dxa"/>
            <w:left w:w="0" w:type="dxa"/>
            <w:bottom w:w="0" w:type="dxa"/>
            <w:right w:w="0" w:type="dxa"/>
          </w:tblCellMar>
        </w:tblPrEx>
        <w:trPr>
          <w:trHeight w:val="578" w:hRule="atLeast"/>
          <w:jc w:val="center"/>
        </w:trPr>
        <w:tc>
          <w:tcPr>
            <w:tcW w:w="638" w:type="dxa"/>
            <w:vMerge w:val="continue"/>
            <w:tcBorders>
              <w:top w:val="single" w:color="auto" w:sz="4" w:space="0"/>
              <w:left w:val="single" w:color="auto" w:sz="4" w:space="0"/>
              <w:bottom w:val="single" w:color="auto" w:sz="4" w:space="0"/>
              <w:right w:val="single" w:color="auto" w:sz="4" w:space="0"/>
            </w:tcBorders>
            <w:noWrap w:val="0"/>
            <w:vAlign w:val="center"/>
          </w:tcPr>
          <w:p w14:paraId="6F2E782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3BEBF31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拆装</w:t>
            </w:r>
          </w:p>
        </w:tc>
        <w:tc>
          <w:tcPr>
            <w:tcW w:w="4556" w:type="dxa"/>
            <w:gridSpan w:val="2"/>
            <w:tcBorders>
              <w:top w:val="single" w:color="auto" w:sz="4" w:space="0"/>
              <w:left w:val="single" w:color="auto" w:sz="4" w:space="0"/>
              <w:bottom w:val="single" w:color="auto" w:sz="4" w:space="0"/>
              <w:right w:val="single" w:color="auto" w:sz="4" w:space="0"/>
            </w:tcBorders>
            <w:noWrap w:val="0"/>
            <w:vAlign w:val="center"/>
          </w:tcPr>
          <w:p w14:paraId="66C968B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即时拆装小型物件（如画、挂钩、窗帘、隔帘等）</w:t>
            </w:r>
          </w:p>
        </w:tc>
      </w:tr>
    </w:tbl>
    <w:p w14:paraId="78A088BC">
      <w:pPr>
        <w:bidi w:val="0"/>
        <w:rPr>
          <w:rFonts w:hint="eastAsia"/>
        </w:rPr>
      </w:pPr>
    </w:p>
    <w:p w14:paraId="0183344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注：各类分体空调每年常规保养不少于2次，费用由中标方承担。 </w:t>
      </w:r>
    </w:p>
    <w:p w14:paraId="56C49D4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4.绿化养护（含植物摆放）服务</w:t>
      </w:r>
    </w:p>
    <w:p w14:paraId="4395AD2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（1）服务范围</w:t>
      </w:r>
    </w:p>
    <w:p w14:paraId="340FA88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根据采购人实际需求提供绿化养护（含植物摆放）服务。</w:t>
      </w:r>
    </w:p>
    <w:p w14:paraId="16C42EA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（2）服务要求</w:t>
      </w:r>
    </w:p>
    <w:p w14:paraId="4EF24CE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1）为改善采购人办公场所室内环境而需摆放绿色植物的，应遵循“简约绿色、经济实用”原则，以易养护阴生植物为主，原则上不摆放鲜花，有造型的盆景及各类名贵花木；</w:t>
      </w:r>
    </w:p>
    <w:p w14:paraId="0A18B39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2）室内办公场所绿植摆放费用按不超过每年每平方米7.9元的综合单价计算费用总额予以控制，且日常摆放绿植单盆费用不超过350元/年,实际每年每平方米综合单价与单盆年费用需经甲方确认后为准。</w:t>
      </w:r>
    </w:p>
    <w:p w14:paraId="62CA157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3）绿植定期置换和养护，室内阴生植物生长良好，无枯枝病叶则无需时时更换；出现枯黄虫咬情况，三日内必须更换；室外归属于采购人管理的绿植需定期浇水、养护。</w:t>
      </w:r>
    </w:p>
    <w:p w14:paraId="47414E4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4）时花摆放每两个月需更换一次；</w:t>
      </w:r>
    </w:p>
    <w:p w14:paraId="1C98C13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5）养护满足植物正常生长的需求；</w:t>
      </w:r>
    </w:p>
    <w:p w14:paraId="6D402D06">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6）保证植物常绿，合理搭配达到美化环境的良好效果。</w:t>
      </w:r>
    </w:p>
    <w:p w14:paraId="4EAF5300">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FF0000"/>
          <w:sz w:val="24"/>
          <w:szCs w:val="24"/>
          <w:highlight w:val="yellow"/>
        </w:rPr>
      </w:pPr>
      <w:r>
        <w:rPr>
          <w:rFonts w:hint="eastAsia" w:ascii="宋体" w:hAnsi="宋体" w:eastAsia="宋体" w:cs="宋体"/>
          <w:sz w:val="24"/>
          <w:szCs w:val="24"/>
        </w:rPr>
        <w:t>7）绿化养护（含植物摆放）服务的费用按上述2）点的标准按实际摆放数量结算，且每月绿化养护（含植物摆放）服务总额标准不超过4000元。</w:t>
      </w:r>
    </w:p>
    <w:p w14:paraId="619C191A">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5.综合服务</w:t>
      </w:r>
    </w:p>
    <w:p w14:paraId="56B5AA83">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（1）档案管理服务</w:t>
      </w:r>
    </w:p>
    <w:p w14:paraId="15E34CE3">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1）建立日常管理规章制度，健全各种安全保卫、消防检查、环境保洁消杀、节能降耗、设备设施的运行维护计划、记录及机电管理内容的基础档案。</w:t>
      </w:r>
    </w:p>
    <w:p w14:paraId="0455403D">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2）所有服务结果均需有表格、图文、报告等书面形式体现。 </w:t>
      </w:r>
    </w:p>
    <w:p w14:paraId="54D8D778">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3）项目故障与维修、运行保养登记台账、安全巡查台账、消防台账、垃圾清运台账、环境保洁消杀台账、节能巡查整改台账等，资料齐全，分类整理、归档整理、查阅方便。</w:t>
      </w:r>
    </w:p>
    <w:p w14:paraId="422C274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4）在日常管理中要建立交接班、项目故障与维修、运行保养、安全、消防巡查、报修回访等日常规章制度与应急预案制度。</w:t>
      </w:r>
    </w:p>
    <w:p w14:paraId="6FF1482F">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5）按照院感办要求做好防控相关台账登记，分类归档。</w:t>
      </w:r>
    </w:p>
    <w:p w14:paraId="18494C8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（2）物资（搬）运服务</w:t>
      </w:r>
    </w:p>
    <w:p w14:paraId="30C4019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搬运服务范围、内容：搬运医院范围及与院方有关的场所内的桌椅、家具、饮水用品、清洁用品、办公用品、氧气瓶、医疗耗材及药品等各类物资及其他搬运任务。（不包括需增加专业搬运人员、车辆的大型物资转运）。</w:t>
      </w:r>
    </w:p>
    <w:p w14:paraId="11F99C20">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2）搬运管理服务要求：</w:t>
      </w:r>
    </w:p>
    <w:p w14:paraId="2D1CC40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①</w:t>
      </w:r>
      <w:r>
        <w:rPr>
          <w:rFonts w:hint="eastAsia" w:ascii="宋体" w:hAnsi="宋体" w:eastAsia="宋体" w:cs="宋体"/>
          <w:sz w:val="24"/>
          <w:szCs w:val="24"/>
        </w:rPr>
        <w:fldChar w:fldCharType="end"/>
      </w:r>
      <w:r>
        <w:rPr>
          <w:rFonts w:hint="eastAsia" w:ascii="宋体" w:hAnsi="宋体" w:eastAsia="宋体" w:cs="宋体"/>
          <w:sz w:val="24"/>
          <w:szCs w:val="24"/>
        </w:rPr>
        <w:t>按计划搬运物资、设备。</w:t>
      </w:r>
    </w:p>
    <w:p w14:paraId="740C72A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②</w:t>
      </w:r>
      <w:r>
        <w:rPr>
          <w:rFonts w:hint="eastAsia" w:ascii="宋体" w:hAnsi="宋体" w:eastAsia="宋体" w:cs="宋体"/>
          <w:sz w:val="24"/>
          <w:szCs w:val="24"/>
        </w:rPr>
        <w:fldChar w:fldCharType="end"/>
      </w:r>
      <w:r>
        <w:rPr>
          <w:rFonts w:hint="eastAsia" w:ascii="宋体" w:hAnsi="宋体" w:eastAsia="宋体" w:cs="宋体"/>
          <w:sz w:val="24"/>
          <w:szCs w:val="24"/>
        </w:rPr>
        <w:t>药品、疫苗及时送达医院指定地点。</w:t>
      </w:r>
    </w:p>
    <w:p w14:paraId="6210542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③</w:t>
      </w:r>
      <w:r>
        <w:rPr>
          <w:rFonts w:hint="eastAsia" w:ascii="宋体" w:hAnsi="宋体" w:eastAsia="宋体" w:cs="宋体"/>
          <w:sz w:val="24"/>
          <w:szCs w:val="24"/>
        </w:rPr>
        <w:fldChar w:fldCharType="end"/>
      </w:r>
      <w:r>
        <w:rPr>
          <w:rFonts w:hint="eastAsia" w:ascii="宋体" w:hAnsi="宋体" w:eastAsia="宋体" w:cs="宋体"/>
          <w:sz w:val="24"/>
          <w:szCs w:val="24"/>
        </w:rPr>
        <w:t>安全、及时运送，有统一的调度系统，专人监管，合理有效派工。</w:t>
      </w:r>
    </w:p>
    <w:p w14:paraId="6D8392D7">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④</w:t>
      </w:r>
      <w:r>
        <w:rPr>
          <w:rFonts w:hint="eastAsia" w:ascii="宋体" w:hAnsi="宋体" w:eastAsia="宋体" w:cs="宋体"/>
          <w:sz w:val="24"/>
          <w:szCs w:val="24"/>
        </w:rPr>
        <w:fldChar w:fldCharType="end"/>
      </w:r>
      <w:r>
        <w:rPr>
          <w:rFonts w:hint="eastAsia" w:ascii="宋体" w:hAnsi="宋体" w:eastAsia="宋体" w:cs="宋体"/>
          <w:sz w:val="24"/>
          <w:szCs w:val="24"/>
        </w:rPr>
        <w:t>及时响应院方搬运任务及服从医院工作人员安排。</w:t>
      </w:r>
    </w:p>
    <w:p w14:paraId="227EB96B">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5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⑤</w:t>
      </w:r>
      <w:r>
        <w:rPr>
          <w:rFonts w:hint="eastAsia" w:ascii="宋体" w:hAnsi="宋体" w:eastAsia="宋体" w:cs="宋体"/>
          <w:sz w:val="24"/>
          <w:szCs w:val="24"/>
        </w:rPr>
        <w:fldChar w:fldCharType="end"/>
      </w:r>
      <w:r>
        <w:rPr>
          <w:rFonts w:hint="eastAsia" w:ascii="宋体" w:hAnsi="宋体" w:eastAsia="宋体" w:cs="宋体"/>
          <w:sz w:val="24"/>
          <w:szCs w:val="24"/>
        </w:rPr>
        <w:t>工作日固定搬运工，协助医院各科室、部门的物资运送。</w:t>
      </w:r>
    </w:p>
    <w:p w14:paraId="6E03DB6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（3）其他服务</w:t>
      </w:r>
    </w:p>
    <w:p w14:paraId="1BF93B21">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1）中标人应做到门前“三包”：包市容秩序、包环境卫生、包监督管理。</w:t>
      </w:r>
    </w:p>
    <w:p w14:paraId="6878D17E">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2）中标人内部应有岗前培训机制，所有物业人员需100%经过岗前培训并考核合格后方能分配至本项目进行物业服务。</w:t>
      </w:r>
    </w:p>
    <w:p w14:paraId="26736709">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3）中标人物业人员需开展、参与有针对性、持续、有效的培训，增加物业工作人员的防护意识，提高防护技能。落实基础防护措施。院感培训内容、对象应覆盖安保、保洁、机电等全体物业人员，培训内容针对不同岗位特点设定，中标人对其全体员工进行每周培训及每两周效果考核，须有培训及考核记录。 </w:t>
      </w:r>
    </w:p>
    <w:p w14:paraId="5CF74F72">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4）切实落实标准预防各项措施，根据不同工作岗位暴露风险差异，选择不同的防护级别。加强工作人员科学防护培训，不同岗位人员熟知本岗位防护级别，选用正确的防护用品。</w:t>
      </w:r>
    </w:p>
    <w:p w14:paraId="372CF160">
      <w:pPr>
        <w:pStyle w:val="8"/>
        <w:keepNext w:val="0"/>
        <w:keepLines w:val="0"/>
        <w:pageBreakBefore w:val="0"/>
        <w:widowControl w:val="0"/>
        <w:tabs>
          <w:tab w:val="left" w:pos="426"/>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物业人员能正确、熟练穿脱防护用品，防护用品（如医用防护口罩、护目镜、隔离衣、防护服等）被患者血液、体液、分泌物等污染时应当及时更换。根据暴露的风险级别熟练掌握职业暴露的处置流程。物业人员能正确佩戴医用外科口罩和医用防护口罩，严格把握手卫生时机，熟练掌握“两前三后”（接触患者前、无菌操作前；接触患者后、体液暴露后、接触患者周围环境后）手卫生指征。</w:t>
      </w:r>
    </w:p>
    <w:p w14:paraId="13157C36">
      <w:pPr>
        <w:pStyle w:val="3"/>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落实物业工勤人员各项规章制度，建立多方共管的环境清洁消毒质量控制小组，建立保洁质量考评标准及细则。建立保洁人员使用-管理-监督联动反馈工作机制，加强对物业工勤人员的岗前培训，内容包括科室介绍（含科室布局等）、工作制度、工作职责、职业技能、消毒隔离、手卫生、个人防护等院感防控知识、职业暴露应急处置、消防知识、心理健康辅导等，考核合格方能上岗。</w:t>
      </w:r>
    </w:p>
    <w:p w14:paraId="28D571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（三）人员要求</w:t>
      </w:r>
    </w:p>
    <w:p w14:paraId="6C7DEF15">
      <w:pPr>
        <w:spacing w:line="360" w:lineRule="auto"/>
        <w:rPr>
          <w:rFonts w:hint="eastAsia" w:ascii="宋体" w:hAnsi="宋体" w:eastAsia="宋体" w:cs="宋体"/>
          <w:b/>
          <w:sz w:val="24"/>
          <w:szCs w:val="24"/>
        </w:rPr>
      </w:pPr>
      <w:r>
        <w:rPr>
          <w:rFonts w:hint="eastAsia" w:ascii="宋体" w:hAnsi="宋体" w:eastAsia="宋体" w:cs="宋体"/>
          <w:b/>
          <w:sz w:val="24"/>
          <w:szCs w:val="24"/>
        </w:rPr>
        <w:t>1.本次物业项目总体要求人数不少于</w:t>
      </w:r>
      <w:r>
        <w:rPr>
          <w:rFonts w:hint="eastAsia" w:ascii="宋体" w:hAnsi="宋体" w:eastAsia="宋体" w:cs="宋体"/>
          <w:b/>
          <w:sz w:val="24"/>
          <w:szCs w:val="24"/>
          <w:lang w:val="en-US" w:eastAsia="zh-CN"/>
        </w:rPr>
        <w:t>245</w:t>
      </w:r>
      <w:r>
        <w:rPr>
          <w:rFonts w:hint="eastAsia" w:ascii="宋体" w:hAnsi="宋体" w:eastAsia="宋体" w:cs="宋体"/>
          <w:b/>
          <w:sz w:val="24"/>
          <w:szCs w:val="24"/>
        </w:rPr>
        <w:t>人，具体岗位及人员安排情况见下表：</w:t>
      </w:r>
    </w:p>
    <w:tbl>
      <w:tblPr>
        <w:tblStyle w:val="5"/>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571"/>
        <w:gridCol w:w="2648"/>
        <w:gridCol w:w="1324"/>
        <w:gridCol w:w="3106"/>
      </w:tblGrid>
      <w:tr w14:paraId="107B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6" w:type="dxa"/>
            <w:shd w:val="clear" w:color="000000" w:fill="BFBFBF"/>
            <w:noWrap w:val="0"/>
            <w:vAlign w:val="center"/>
          </w:tcPr>
          <w:p w14:paraId="53742800">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4219" w:type="dxa"/>
            <w:gridSpan w:val="2"/>
            <w:shd w:val="clear" w:color="000000" w:fill="BFBFBF"/>
            <w:noWrap w:val="0"/>
            <w:vAlign w:val="center"/>
          </w:tcPr>
          <w:p w14:paraId="3E726626">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部门及岗位</w:t>
            </w:r>
          </w:p>
        </w:tc>
        <w:tc>
          <w:tcPr>
            <w:tcW w:w="1324" w:type="dxa"/>
            <w:shd w:val="clear" w:color="000000" w:fill="BFBFBF"/>
            <w:noWrap w:val="0"/>
            <w:vAlign w:val="center"/>
          </w:tcPr>
          <w:p w14:paraId="6402A3EF">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人 数</w:t>
            </w:r>
          </w:p>
        </w:tc>
        <w:tc>
          <w:tcPr>
            <w:tcW w:w="3106" w:type="dxa"/>
            <w:shd w:val="clear" w:color="000000" w:fill="BFBFBF"/>
            <w:noWrap w:val="0"/>
            <w:vAlign w:val="center"/>
          </w:tcPr>
          <w:p w14:paraId="560C1F58">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岗位说明</w:t>
            </w:r>
          </w:p>
        </w:tc>
      </w:tr>
      <w:tr w14:paraId="5C7B2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46" w:type="dxa"/>
            <w:shd w:val="clear" w:color="000000" w:fill="FFFFFF"/>
            <w:noWrap w:val="0"/>
            <w:vAlign w:val="center"/>
          </w:tcPr>
          <w:p w14:paraId="712CBF2C">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571" w:type="dxa"/>
            <w:noWrap w:val="0"/>
            <w:vAlign w:val="center"/>
          </w:tcPr>
          <w:p w14:paraId="6FC6238F">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项目负责人</w:t>
            </w:r>
          </w:p>
        </w:tc>
        <w:tc>
          <w:tcPr>
            <w:tcW w:w="2648" w:type="dxa"/>
            <w:noWrap w:val="0"/>
            <w:vAlign w:val="center"/>
          </w:tcPr>
          <w:p w14:paraId="5E233D31">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项目经理</w:t>
            </w:r>
          </w:p>
        </w:tc>
        <w:tc>
          <w:tcPr>
            <w:tcW w:w="1324" w:type="dxa"/>
            <w:noWrap w:val="0"/>
            <w:vAlign w:val="center"/>
          </w:tcPr>
          <w:p w14:paraId="38499B24">
            <w:pPr>
              <w:widowControl/>
              <w:adjustRightInd w:val="0"/>
              <w:snapToGrid w:val="0"/>
              <w:spacing w:line="36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1</w:t>
            </w:r>
          </w:p>
        </w:tc>
        <w:tc>
          <w:tcPr>
            <w:tcW w:w="3106" w:type="dxa"/>
            <w:noWrap w:val="0"/>
            <w:vAlign w:val="center"/>
          </w:tcPr>
          <w:p w14:paraId="0967F3A3">
            <w:pPr>
              <w:widowControl/>
              <w:adjustRightInd w:val="0"/>
              <w:snapToGrid w:val="0"/>
              <w:spacing w:line="360" w:lineRule="auto"/>
              <w:jc w:val="left"/>
              <w:rPr>
                <w:rFonts w:hint="eastAsia" w:ascii="宋体" w:hAnsi="宋体" w:eastAsia="宋体" w:cs="宋体"/>
                <w:b/>
                <w:bCs/>
                <w:color w:val="000000"/>
                <w:kern w:val="0"/>
                <w:sz w:val="24"/>
                <w:szCs w:val="24"/>
                <w:lang w:val="en-US" w:eastAsia="zh-CN" w:bidi="ar-SA"/>
              </w:rPr>
            </w:pPr>
            <w:r>
              <w:rPr>
                <w:rFonts w:hint="eastAsia" w:ascii="宋体" w:hAnsi="宋体" w:eastAsia="宋体" w:cs="宋体"/>
                <w:color w:val="000000"/>
                <w:kern w:val="0"/>
                <w:sz w:val="24"/>
                <w:szCs w:val="24"/>
              </w:rPr>
              <w:t>负责本项目全面管理工作</w:t>
            </w:r>
          </w:p>
        </w:tc>
      </w:tr>
      <w:tr w14:paraId="5931B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46" w:type="dxa"/>
            <w:shd w:val="clear" w:color="000000" w:fill="FFFFFF"/>
            <w:noWrap w:val="0"/>
            <w:vAlign w:val="center"/>
          </w:tcPr>
          <w:p w14:paraId="38A10F76">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w:t>
            </w:r>
          </w:p>
        </w:tc>
        <w:tc>
          <w:tcPr>
            <w:tcW w:w="1571" w:type="dxa"/>
            <w:vMerge w:val="restart"/>
            <w:noWrap w:val="0"/>
            <w:vAlign w:val="center"/>
          </w:tcPr>
          <w:p w14:paraId="3C2397D9">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办公室</w:t>
            </w:r>
          </w:p>
        </w:tc>
        <w:tc>
          <w:tcPr>
            <w:tcW w:w="2648" w:type="dxa"/>
            <w:noWrap w:val="0"/>
            <w:vAlign w:val="center"/>
          </w:tcPr>
          <w:p w14:paraId="4EEFBEA0">
            <w:pPr>
              <w:widowControl/>
              <w:spacing w:line="36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办公室文员</w:t>
            </w:r>
          </w:p>
        </w:tc>
        <w:tc>
          <w:tcPr>
            <w:tcW w:w="1324" w:type="dxa"/>
            <w:noWrap w:val="0"/>
            <w:vAlign w:val="center"/>
          </w:tcPr>
          <w:p w14:paraId="2EA12788">
            <w:pPr>
              <w:widowControl/>
              <w:adjustRightInd w:val="0"/>
              <w:snapToGrid w:val="0"/>
              <w:spacing w:line="36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1</w:t>
            </w:r>
          </w:p>
        </w:tc>
        <w:tc>
          <w:tcPr>
            <w:tcW w:w="3106" w:type="dxa"/>
            <w:noWrap w:val="0"/>
            <w:vAlign w:val="center"/>
          </w:tcPr>
          <w:p w14:paraId="7BA8EE3F">
            <w:pPr>
              <w:widowControl/>
              <w:adjustRightInd w:val="0"/>
              <w:snapToGrid w:val="0"/>
              <w:spacing w:line="360" w:lineRule="auto"/>
              <w:rPr>
                <w:rFonts w:hint="eastAsia" w:ascii="宋体" w:hAnsi="宋体" w:eastAsia="宋体" w:cs="宋体"/>
                <w:b/>
                <w:bCs/>
                <w:color w:val="000000"/>
                <w:kern w:val="0"/>
                <w:sz w:val="24"/>
                <w:szCs w:val="24"/>
                <w:lang w:val="en-US" w:eastAsia="zh-CN" w:bidi="ar-SA"/>
              </w:rPr>
            </w:pPr>
            <w:r>
              <w:rPr>
                <w:rFonts w:hint="eastAsia" w:ascii="宋体" w:hAnsi="宋体" w:eastAsia="宋体" w:cs="宋体"/>
                <w:sz w:val="24"/>
                <w:szCs w:val="24"/>
              </w:rPr>
              <w:t>负责档案及资料管理、员工考勤等</w:t>
            </w:r>
          </w:p>
        </w:tc>
      </w:tr>
      <w:tr w14:paraId="21B6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46" w:type="dxa"/>
            <w:shd w:val="clear" w:color="000000" w:fill="FFFFFF"/>
            <w:noWrap w:val="0"/>
            <w:vAlign w:val="center"/>
          </w:tcPr>
          <w:p w14:paraId="46029B38">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w:t>
            </w:r>
          </w:p>
        </w:tc>
        <w:tc>
          <w:tcPr>
            <w:tcW w:w="1571" w:type="dxa"/>
            <w:vMerge w:val="continue"/>
            <w:noWrap w:val="0"/>
            <w:vAlign w:val="center"/>
          </w:tcPr>
          <w:p w14:paraId="4F44BF5D">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15BE4D30">
            <w:pPr>
              <w:widowControl/>
              <w:adjustRightInd w:val="0"/>
              <w:snapToGrid w:val="0"/>
              <w:spacing w:line="36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前台文员</w:t>
            </w:r>
          </w:p>
        </w:tc>
        <w:tc>
          <w:tcPr>
            <w:tcW w:w="1324" w:type="dxa"/>
            <w:noWrap w:val="0"/>
            <w:vAlign w:val="center"/>
          </w:tcPr>
          <w:p w14:paraId="007E6CC5">
            <w:pPr>
              <w:widowControl/>
              <w:adjustRightInd w:val="0"/>
              <w:snapToGrid w:val="0"/>
              <w:spacing w:line="36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2</w:t>
            </w:r>
          </w:p>
        </w:tc>
        <w:tc>
          <w:tcPr>
            <w:tcW w:w="3106" w:type="dxa"/>
            <w:noWrap w:val="0"/>
            <w:vAlign w:val="center"/>
          </w:tcPr>
          <w:p w14:paraId="726FED16">
            <w:pPr>
              <w:widowControl/>
              <w:adjustRightInd w:val="0"/>
              <w:snapToGrid w:val="0"/>
              <w:spacing w:line="360" w:lineRule="auto"/>
              <w:rPr>
                <w:rFonts w:hint="eastAsia" w:ascii="宋体" w:hAnsi="宋体" w:eastAsia="宋体" w:cs="宋体"/>
                <w:b/>
                <w:bCs/>
                <w:color w:val="000000"/>
                <w:kern w:val="0"/>
                <w:sz w:val="24"/>
                <w:szCs w:val="24"/>
                <w:lang w:val="en-US" w:eastAsia="zh-CN" w:bidi="ar-SA"/>
              </w:rPr>
            </w:pPr>
            <w:r>
              <w:rPr>
                <w:rFonts w:hint="eastAsia" w:ascii="宋体" w:hAnsi="宋体" w:eastAsia="宋体" w:cs="宋体"/>
                <w:sz w:val="24"/>
                <w:szCs w:val="24"/>
              </w:rPr>
              <w:t>负责前台咨询服务等</w:t>
            </w:r>
          </w:p>
        </w:tc>
      </w:tr>
      <w:tr w14:paraId="2A85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46" w:type="dxa"/>
            <w:shd w:val="clear" w:color="000000" w:fill="FFFFFF"/>
            <w:noWrap w:val="0"/>
            <w:vAlign w:val="center"/>
          </w:tcPr>
          <w:p w14:paraId="7A3012A3">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4</w:t>
            </w:r>
          </w:p>
        </w:tc>
        <w:tc>
          <w:tcPr>
            <w:tcW w:w="1571" w:type="dxa"/>
            <w:vMerge w:val="restart"/>
            <w:noWrap w:val="0"/>
            <w:vAlign w:val="center"/>
          </w:tcPr>
          <w:p w14:paraId="5896501B">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工程部 </w:t>
            </w:r>
          </w:p>
          <w:p w14:paraId="5E1A61CD">
            <w:pPr>
              <w:widowControl/>
              <w:spacing w:line="360" w:lineRule="auto"/>
              <w:jc w:val="center"/>
              <w:rPr>
                <w:rFonts w:hint="eastAsia" w:ascii="宋体" w:hAnsi="宋体" w:eastAsia="宋体" w:cs="宋体"/>
                <w:color w:val="000000"/>
                <w:kern w:val="0"/>
                <w:sz w:val="24"/>
                <w:szCs w:val="24"/>
              </w:rPr>
            </w:pPr>
          </w:p>
        </w:tc>
        <w:tc>
          <w:tcPr>
            <w:tcW w:w="2648" w:type="dxa"/>
            <w:noWrap w:val="0"/>
            <w:vAlign w:val="center"/>
          </w:tcPr>
          <w:p w14:paraId="36925553">
            <w:pPr>
              <w:widowControl/>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工程部</w:t>
            </w:r>
            <w:r>
              <w:rPr>
                <w:rFonts w:hint="eastAsia" w:ascii="宋体" w:hAnsi="宋体" w:eastAsia="宋体" w:cs="宋体"/>
                <w:kern w:val="0"/>
                <w:sz w:val="24"/>
                <w:szCs w:val="24"/>
                <w:lang w:val="en-US" w:eastAsia="zh-CN"/>
              </w:rPr>
              <w:t>主管</w:t>
            </w:r>
          </w:p>
        </w:tc>
        <w:tc>
          <w:tcPr>
            <w:tcW w:w="1324" w:type="dxa"/>
            <w:noWrap w:val="0"/>
            <w:vAlign w:val="center"/>
          </w:tcPr>
          <w:p w14:paraId="4158F53A">
            <w:pPr>
              <w:widowControl/>
              <w:adjustRightInd w:val="0"/>
              <w:snapToGrid w:val="0"/>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1</w:t>
            </w:r>
          </w:p>
        </w:tc>
        <w:tc>
          <w:tcPr>
            <w:tcW w:w="3106" w:type="dxa"/>
            <w:noWrap w:val="0"/>
            <w:vAlign w:val="center"/>
          </w:tcPr>
          <w:p w14:paraId="3298FA13">
            <w:pPr>
              <w:widowControl/>
              <w:adjustRightInd w:val="0"/>
              <w:snapToGrid w:val="0"/>
              <w:spacing w:line="360" w:lineRule="auto"/>
              <w:rPr>
                <w:rFonts w:hint="eastAsia" w:ascii="宋体" w:hAnsi="宋体" w:eastAsia="宋体" w:cs="宋体"/>
                <w:b/>
                <w:bCs/>
                <w:kern w:val="0"/>
                <w:sz w:val="24"/>
                <w:szCs w:val="24"/>
                <w:lang w:val="en-US" w:eastAsia="zh-CN" w:bidi="ar-SA"/>
              </w:rPr>
            </w:pPr>
            <w:r>
              <w:rPr>
                <w:rFonts w:hint="eastAsia" w:ascii="宋体" w:hAnsi="宋体" w:eastAsia="宋体" w:cs="宋体"/>
                <w:sz w:val="24"/>
                <w:szCs w:val="24"/>
              </w:rPr>
              <w:t>负责工程部管理</w:t>
            </w:r>
          </w:p>
        </w:tc>
      </w:tr>
      <w:tr w14:paraId="6701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46" w:type="dxa"/>
            <w:shd w:val="clear" w:color="000000" w:fill="FFFFFF"/>
            <w:noWrap w:val="0"/>
            <w:vAlign w:val="center"/>
          </w:tcPr>
          <w:p w14:paraId="0CB1D056">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5</w:t>
            </w:r>
          </w:p>
        </w:tc>
        <w:tc>
          <w:tcPr>
            <w:tcW w:w="1571" w:type="dxa"/>
            <w:vMerge w:val="continue"/>
            <w:noWrap w:val="0"/>
            <w:vAlign w:val="center"/>
          </w:tcPr>
          <w:p w14:paraId="16313591">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01418D84">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运行维修工</w:t>
            </w:r>
          </w:p>
        </w:tc>
        <w:tc>
          <w:tcPr>
            <w:tcW w:w="1324" w:type="dxa"/>
            <w:noWrap w:val="0"/>
            <w:vAlign w:val="center"/>
          </w:tcPr>
          <w:p w14:paraId="7347FD9A">
            <w:pPr>
              <w:widowControl/>
              <w:adjustRightInd w:val="0"/>
              <w:snapToGrid w:val="0"/>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3106" w:type="dxa"/>
            <w:noWrap w:val="0"/>
            <w:vAlign w:val="center"/>
          </w:tcPr>
          <w:p w14:paraId="4ED83E34">
            <w:pPr>
              <w:widowControl/>
              <w:adjustRightInd w:val="0"/>
              <w:snapToGrid w:val="0"/>
              <w:spacing w:line="360" w:lineRule="auto"/>
              <w:rPr>
                <w:rFonts w:hint="eastAsia" w:ascii="宋体" w:hAnsi="宋体" w:eastAsia="宋体" w:cs="宋体"/>
                <w:b/>
                <w:bCs/>
                <w:kern w:val="0"/>
                <w:sz w:val="24"/>
                <w:szCs w:val="24"/>
              </w:rPr>
            </w:pPr>
            <w:r>
              <w:rPr>
                <w:rFonts w:hint="eastAsia" w:ascii="宋体" w:hAnsi="宋体" w:eastAsia="宋体" w:cs="宋体"/>
                <w:sz w:val="24"/>
                <w:szCs w:val="24"/>
              </w:rPr>
              <w:t>负责全院工程维修、运行工作，全院机动</w:t>
            </w:r>
          </w:p>
        </w:tc>
      </w:tr>
      <w:tr w14:paraId="0AAF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46" w:type="dxa"/>
            <w:shd w:val="clear" w:color="000000" w:fill="FFFFFF"/>
            <w:noWrap w:val="0"/>
            <w:vAlign w:val="center"/>
          </w:tcPr>
          <w:p w14:paraId="30CDEAF5">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6</w:t>
            </w:r>
          </w:p>
        </w:tc>
        <w:tc>
          <w:tcPr>
            <w:tcW w:w="1571" w:type="dxa"/>
            <w:vMerge w:val="continue"/>
            <w:noWrap w:val="0"/>
            <w:vAlign w:val="center"/>
          </w:tcPr>
          <w:p w14:paraId="40DE17BF">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15A3EE73">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替岗休息</w:t>
            </w:r>
          </w:p>
        </w:tc>
        <w:tc>
          <w:tcPr>
            <w:tcW w:w="1324" w:type="dxa"/>
            <w:noWrap w:val="0"/>
            <w:vAlign w:val="center"/>
          </w:tcPr>
          <w:p w14:paraId="03395506">
            <w:pPr>
              <w:widowControl/>
              <w:adjustRightInd w:val="0"/>
              <w:snapToGrid w:val="0"/>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3106" w:type="dxa"/>
            <w:noWrap w:val="0"/>
            <w:vAlign w:val="center"/>
          </w:tcPr>
          <w:p w14:paraId="1692AC4C">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负责工程部的替岗休息</w:t>
            </w:r>
          </w:p>
        </w:tc>
      </w:tr>
      <w:tr w14:paraId="5DD5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46" w:type="dxa"/>
            <w:shd w:val="clear" w:color="000000" w:fill="FFFFFF"/>
            <w:noWrap w:val="0"/>
            <w:vAlign w:val="center"/>
          </w:tcPr>
          <w:p w14:paraId="1F0B9A9E">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7</w:t>
            </w:r>
          </w:p>
        </w:tc>
        <w:tc>
          <w:tcPr>
            <w:tcW w:w="1571" w:type="dxa"/>
            <w:noWrap w:val="0"/>
            <w:vAlign w:val="center"/>
          </w:tcPr>
          <w:p w14:paraId="70EC86F5">
            <w:pPr>
              <w:widowControl/>
              <w:adjustRightInd w:val="0"/>
              <w:snapToGrid w:val="0"/>
              <w:spacing w:line="36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物运岗</w:t>
            </w:r>
          </w:p>
        </w:tc>
        <w:tc>
          <w:tcPr>
            <w:tcW w:w="2648" w:type="dxa"/>
            <w:noWrap w:val="0"/>
            <w:vAlign w:val="center"/>
          </w:tcPr>
          <w:p w14:paraId="218CB25E">
            <w:pPr>
              <w:widowControl/>
              <w:adjustRightInd w:val="0"/>
              <w:snapToGrid w:val="0"/>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物运工</w:t>
            </w:r>
          </w:p>
        </w:tc>
        <w:tc>
          <w:tcPr>
            <w:tcW w:w="1324" w:type="dxa"/>
            <w:noWrap w:val="0"/>
            <w:vAlign w:val="center"/>
          </w:tcPr>
          <w:p w14:paraId="7EE87BEA">
            <w:pPr>
              <w:widowControl/>
              <w:adjustRightInd w:val="0"/>
              <w:snapToGrid w:val="0"/>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4</w:t>
            </w:r>
          </w:p>
        </w:tc>
        <w:tc>
          <w:tcPr>
            <w:tcW w:w="3106" w:type="dxa"/>
            <w:noWrap w:val="0"/>
            <w:vAlign w:val="center"/>
          </w:tcPr>
          <w:p w14:paraId="60C174F8">
            <w:pPr>
              <w:widowControl/>
              <w:adjustRightInd w:val="0"/>
              <w:snapToGrid w:val="0"/>
              <w:spacing w:line="360" w:lineRule="auto"/>
              <w:rPr>
                <w:rFonts w:hint="eastAsia" w:ascii="宋体" w:hAnsi="宋体" w:eastAsia="宋体" w:cs="宋体"/>
                <w:b/>
                <w:bCs/>
                <w:kern w:val="0"/>
                <w:sz w:val="24"/>
                <w:szCs w:val="24"/>
                <w:lang w:val="en-US" w:eastAsia="zh-CN" w:bidi="ar-SA"/>
              </w:rPr>
            </w:pPr>
            <w:r>
              <w:rPr>
                <w:rFonts w:hint="eastAsia" w:ascii="宋体" w:hAnsi="宋体" w:eastAsia="宋体" w:cs="宋体"/>
                <w:sz w:val="24"/>
                <w:szCs w:val="24"/>
              </w:rPr>
              <w:t>送药、送疫苗、勤杂事务、小型搬家、仓库送货及资产转运等物运工作。</w:t>
            </w:r>
          </w:p>
        </w:tc>
      </w:tr>
      <w:tr w14:paraId="36AA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46" w:type="dxa"/>
            <w:shd w:val="clear" w:color="000000" w:fill="FFFFFF"/>
            <w:noWrap w:val="0"/>
            <w:vAlign w:val="center"/>
          </w:tcPr>
          <w:p w14:paraId="1A4BCB7B">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　</w:t>
            </w:r>
          </w:p>
        </w:tc>
        <w:tc>
          <w:tcPr>
            <w:tcW w:w="1571" w:type="dxa"/>
            <w:vMerge w:val="restart"/>
            <w:noWrap w:val="0"/>
            <w:vAlign w:val="center"/>
          </w:tcPr>
          <w:p w14:paraId="4BCF4B44">
            <w:pPr>
              <w:widowControl/>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秩序维护</w:t>
            </w:r>
            <w:r>
              <w:rPr>
                <w:rFonts w:hint="eastAsia" w:ascii="宋体" w:hAnsi="宋体" w:eastAsia="宋体" w:cs="宋体"/>
                <w:color w:val="auto"/>
                <w:kern w:val="0"/>
                <w:sz w:val="24"/>
                <w:szCs w:val="24"/>
              </w:rPr>
              <w:t>部</w:t>
            </w:r>
          </w:p>
        </w:tc>
        <w:tc>
          <w:tcPr>
            <w:tcW w:w="2648" w:type="dxa"/>
            <w:noWrap w:val="0"/>
            <w:vAlign w:val="center"/>
          </w:tcPr>
          <w:p w14:paraId="1A345A10">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保安主管</w:t>
            </w:r>
          </w:p>
        </w:tc>
        <w:tc>
          <w:tcPr>
            <w:tcW w:w="1324" w:type="dxa"/>
            <w:noWrap w:val="0"/>
            <w:vAlign w:val="center"/>
          </w:tcPr>
          <w:p w14:paraId="02340854">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3106" w:type="dxa"/>
            <w:noWrap w:val="0"/>
            <w:vAlign w:val="center"/>
          </w:tcPr>
          <w:p w14:paraId="622BF59C">
            <w:pPr>
              <w:widowControl/>
              <w:adjustRightInd w:val="0"/>
              <w:snapToGrid w:val="0"/>
              <w:spacing w:line="360" w:lineRule="auto"/>
              <w:rPr>
                <w:rFonts w:hint="eastAsia" w:ascii="宋体" w:hAnsi="宋体" w:eastAsia="宋体" w:cs="宋体"/>
                <w:b/>
                <w:bCs/>
                <w:kern w:val="0"/>
                <w:sz w:val="24"/>
                <w:szCs w:val="24"/>
              </w:rPr>
            </w:pPr>
            <w:r>
              <w:rPr>
                <w:rFonts w:hint="eastAsia" w:ascii="宋体" w:hAnsi="宋体" w:eastAsia="宋体" w:cs="宋体"/>
                <w:sz w:val="24"/>
                <w:szCs w:val="24"/>
              </w:rPr>
              <w:t>负责秩序维护部管理</w:t>
            </w:r>
          </w:p>
        </w:tc>
      </w:tr>
      <w:tr w14:paraId="469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46" w:type="dxa"/>
            <w:shd w:val="clear" w:color="000000" w:fill="FFFFFF"/>
            <w:noWrap w:val="0"/>
            <w:vAlign w:val="center"/>
          </w:tcPr>
          <w:p w14:paraId="1235CF95">
            <w:pPr>
              <w:widowControl/>
              <w:spacing w:line="360" w:lineRule="auto"/>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9</w:t>
            </w:r>
          </w:p>
        </w:tc>
        <w:tc>
          <w:tcPr>
            <w:tcW w:w="1571" w:type="dxa"/>
            <w:vMerge w:val="continue"/>
            <w:noWrap w:val="0"/>
            <w:vAlign w:val="center"/>
          </w:tcPr>
          <w:p w14:paraId="5CA2029E">
            <w:pPr>
              <w:widowControl/>
              <w:spacing w:line="360" w:lineRule="auto"/>
              <w:jc w:val="left"/>
              <w:rPr>
                <w:rFonts w:hint="eastAsia" w:ascii="宋体" w:hAnsi="宋体" w:eastAsia="宋体" w:cs="宋体"/>
                <w:color w:val="auto"/>
                <w:kern w:val="0"/>
                <w:sz w:val="24"/>
                <w:szCs w:val="24"/>
              </w:rPr>
            </w:pPr>
          </w:p>
        </w:tc>
        <w:tc>
          <w:tcPr>
            <w:tcW w:w="2648" w:type="dxa"/>
            <w:noWrap w:val="0"/>
            <w:vAlign w:val="center"/>
          </w:tcPr>
          <w:p w14:paraId="79C24934">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保安员</w:t>
            </w:r>
          </w:p>
        </w:tc>
        <w:tc>
          <w:tcPr>
            <w:tcW w:w="1324" w:type="dxa"/>
            <w:noWrap w:val="0"/>
            <w:vAlign w:val="center"/>
          </w:tcPr>
          <w:p w14:paraId="2A9561B7">
            <w:pPr>
              <w:widowControl/>
              <w:adjustRightInd w:val="0"/>
              <w:snapToGrid w:val="0"/>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56</w:t>
            </w:r>
          </w:p>
        </w:tc>
        <w:tc>
          <w:tcPr>
            <w:tcW w:w="3106" w:type="dxa"/>
            <w:noWrap w:val="0"/>
            <w:vAlign w:val="center"/>
          </w:tcPr>
          <w:p w14:paraId="6BFA98CA">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负责秩序维护、安保工作</w:t>
            </w:r>
          </w:p>
        </w:tc>
      </w:tr>
      <w:tr w14:paraId="4898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46" w:type="dxa"/>
            <w:shd w:val="clear" w:color="000000" w:fill="FFFFFF"/>
            <w:noWrap w:val="0"/>
            <w:vAlign w:val="center"/>
          </w:tcPr>
          <w:p w14:paraId="242025D0">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0</w:t>
            </w:r>
          </w:p>
        </w:tc>
        <w:tc>
          <w:tcPr>
            <w:tcW w:w="1571" w:type="dxa"/>
            <w:vMerge w:val="continue"/>
            <w:noWrap w:val="0"/>
            <w:vAlign w:val="center"/>
          </w:tcPr>
          <w:p w14:paraId="4520B292">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11436BB4">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消防监控员</w:t>
            </w:r>
          </w:p>
        </w:tc>
        <w:tc>
          <w:tcPr>
            <w:tcW w:w="1324" w:type="dxa"/>
            <w:noWrap w:val="0"/>
            <w:vAlign w:val="center"/>
          </w:tcPr>
          <w:p w14:paraId="06209D6D">
            <w:pPr>
              <w:widowControl/>
              <w:adjustRightInd w:val="0"/>
              <w:snapToGrid w:val="0"/>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w:t>
            </w:r>
          </w:p>
        </w:tc>
        <w:tc>
          <w:tcPr>
            <w:tcW w:w="3106" w:type="dxa"/>
            <w:noWrap w:val="0"/>
            <w:vAlign w:val="center"/>
          </w:tcPr>
          <w:p w14:paraId="77417E9E">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负责消防监控工作</w:t>
            </w:r>
          </w:p>
        </w:tc>
      </w:tr>
      <w:tr w14:paraId="4B9B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46" w:type="dxa"/>
            <w:shd w:val="clear" w:color="000000" w:fill="FFFFFF"/>
            <w:noWrap w:val="0"/>
            <w:vAlign w:val="center"/>
          </w:tcPr>
          <w:p w14:paraId="2EE4DEDC">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1</w:t>
            </w:r>
          </w:p>
        </w:tc>
        <w:tc>
          <w:tcPr>
            <w:tcW w:w="1571" w:type="dxa"/>
            <w:vMerge w:val="continue"/>
            <w:noWrap w:val="0"/>
            <w:vAlign w:val="center"/>
          </w:tcPr>
          <w:p w14:paraId="4FC7511F">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681C7F21">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替岗休息</w:t>
            </w:r>
          </w:p>
        </w:tc>
        <w:tc>
          <w:tcPr>
            <w:tcW w:w="1324" w:type="dxa"/>
            <w:noWrap w:val="0"/>
            <w:vAlign w:val="center"/>
          </w:tcPr>
          <w:p w14:paraId="262D24C2">
            <w:pPr>
              <w:widowControl/>
              <w:adjustRightInd w:val="0"/>
              <w:snapToGrid w:val="0"/>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7</w:t>
            </w:r>
          </w:p>
        </w:tc>
        <w:tc>
          <w:tcPr>
            <w:tcW w:w="3106" w:type="dxa"/>
            <w:noWrap w:val="0"/>
            <w:vAlign w:val="center"/>
          </w:tcPr>
          <w:p w14:paraId="51A664ED">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负责秩序维护部的替岗休息，其中2人为消防监控岗替岗、15人为保安岗替岗；有需要时可安排机动</w:t>
            </w:r>
          </w:p>
        </w:tc>
      </w:tr>
      <w:tr w14:paraId="6274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6" w:type="dxa"/>
            <w:shd w:val="clear" w:color="000000" w:fill="FFFFFF"/>
            <w:noWrap w:val="0"/>
            <w:vAlign w:val="center"/>
          </w:tcPr>
          <w:p w14:paraId="607764F9">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12</w:t>
            </w:r>
          </w:p>
        </w:tc>
        <w:tc>
          <w:tcPr>
            <w:tcW w:w="1571" w:type="dxa"/>
            <w:vMerge w:val="restart"/>
            <w:noWrap w:val="0"/>
            <w:vAlign w:val="center"/>
          </w:tcPr>
          <w:p w14:paraId="20D56717">
            <w:pPr>
              <w:widowControl/>
              <w:spacing w:line="360" w:lineRule="auto"/>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auto"/>
                <w:kern w:val="0"/>
                <w:sz w:val="24"/>
                <w:szCs w:val="24"/>
                <w:lang w:val="en-US" w:eastAsia="zh-CN"/>
              </w:rPr>
              <w:t>综合保洁部</w:t>
            </w:r>
          </w:p>
        </w:tc>
        <w:tc>
          <w:tcPr>
            <w:tcW w:w="2648" w:type="dxa"/>
            <w:noWrap w:val="0"/>
            <w:vAlign w:val="center"/>
          </w:tcPr>
          <w:p w14:paraId="135AE88D">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保洁主管</w:t>
            </w:r>
          </w:p>
        </w:tc>
        <w:tc>
          <w:tcPr>
            <w:tcW w:w="1324" w:type="dxa"/>
            <w:noWrap w:val="0"/>
            <w:vAlign w:val="center"/>
          </w:tcPr>
          <w:p w14:paraId="25D4AD8B">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3106" w:type="dxa"/>
            <w:noWrap w:val="0"/>
            <w:vAlign w:val="center"/>
          </w:tcPr>
          <w:p w14:paraId="2BD753AF">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负责综合保洁部管理工作</w:t>
            </w:r>
          </w:p>
        </w:tc>
      </w:tr>
      <w:tr w14:paraId="4161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6" w:type="dxa"/>
            <w:shd w:val="clear" w:color="000000" w:fill="FFFFFF"/>
            <w:noWrap w:val="0"/>
            <w:vAlign w:val="center"/>
          </w:tcPr>
          <w:p w14:paraId="4EE02152">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13</w:t>
            </w:r>
          </w:p>
        </w:tc>
        <w:tc>
          <w:tcPr>
            <w:tcW w:w="1571" w:type="dxa"/>
            <w:vMerge w:val="continue"/>
            <w:noWrap w:val="0"/>
            <w:vAlign w:val="center"/>
          </w:tcPr>
          <w:p w14:paraId="4259F702">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414D6243">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环境保洁员</w:t>
            </w:r>
          </w:p>
        </w:tc>
        <w:tc>
          <w:tcPr>
            <w:tcW w:w="1324" w:type="dxa"/>
            <w:noWrap w:val="0"/>
            <w:vAlign w:val="center"/>
          </w:tcPr>
          <w:p w14:paraId="14AC2398">
            <w:pPr>
              <w:widowControl/>
              <w:adjustRightInd w:val="0"/>
              <w:snapToGrid w:val="0"/>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46</w:t>
            </w:r>
          </w:p>
        </w:tc>
        <w:tc>
          <w:tcPr>
            <w:tcW w:w="3106" w:type="dxa"/>
            <w:noWrap w:val="0"/>
            <w:vAlign w:val="center"/>
          </w:tcPr>
          <w:p w14:paraId="45FE4BA2">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负责中康院区、龙尾院区的环境保洁工作</w:t>
            </w:r>
          </w:p>
        </w:tc>
      </w:tr>
      <w:tr w14:paraId="62AC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6" w:type="dxa"/>
            <w:shd w:val="clear" w:color="000000" w:fill="FFFFFF"/>
            <w:noWrap w:val="0"/>
            <w:vAlign w:val="center"/>
          </w:tcPr>
          <w:p w14:paraId="49062EFF">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14</w:t>
            </w:r>
          </w:p>
        </w:tc>
        <w:tc>
          <w:tcPr>
            <w:tcW w:w="1571" w:type="dxa"/>
            <w:vMerge w:val="continue"/>
            <w:noWrap w:val="0"/>
            <w:vAlign w:val="center"/>
          </w:tcPr>
          <w:p w14:paraId="335F5805">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4F399FC8">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综合保洁员</w:t>
            </w:r>
          </w:p>
        </w:tc>
        <w:tc>
          <w:tcPr>
            <w:tcW w:w="1324" w:type="dxa"/>
            <w:noWrap w:val="0"/>
            <w:vAlign w:val="center"/>
          </w:tcPr>
          <w:p w14:paraId="57BBC231">
            <w:pPr>
              <w:widowControl/>
              <w:adjustRightInd w:val="0"/>
              <w:snapToGrid w:val="0"/>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30</w:t>
            </w:r>
          </w:p>
          <w:p w14:paraId="2C6889EE">
            <w:pPr>
              <w:pStyle w:val="2"/>
              <w:spacing w:line="360" w:lineRule="auto"/>
              <w:rPr>
                <w:rFonts w:hint="eastAsia" w:ascii="宋体" w:hAnsi="宋体" w:eastAsia="宋体" w:cs="宋体"/>
                <w:sz w:val="24"/>
                <w:szCs w:val="24"/>
                <w:lang w:val="en-US" w:eastAsia="zh-CN"/>
              </w:rPr>
            </w:pPr>
          </w:p>
        </w:tc>
        <w:tc>
          <w:tcPr>
            <w:tcW w:w="3106" w:type="dxa"/>
            <w:noWrap w:val="0"/>
            <w:vAlign w:val="center"/>
          </w:tcPr>
          <w:p w14:paraId="58FAB36B">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负责中康院区病区、龙尾院区病区、门急诊病房病床清洁、整理、消毒及院区接驳车辆跟车保洁等相关工作</w:t>
            </w:r>
          </w:p>
        </w:tc>
      </w:tr>
      <w:tr w14:paraId="6B0EB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6" w:type="dxa"/>
            <w:shd w:val="clear" w:color="000000" w:fill="FFFFFF"/>
            <w:noWrap w:val="0"/>
            <w:vAlign w:val="center"/>
          </w:tcPr>
          <w:p w14:paraId="5B32FF9B">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15</w:t>
            </w:r>
          </w:p>
        </w:tc>
        <w:tc>
          <w:tcPr>
            <w:tcW w:w="1571" w:type="dxa"/>
            <w:vMerge w:val="continue"/>
            <w:noWrap w:val="0"/>
            <w:vAlign w:val="center"/>
          </w:tcPr>
          <w:p w14:paraId="4A46D1E8">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4E7EDFCD">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社康环境保洁员</w:t>
            </w:r>
          </w:p>
        </w:tc>
        <w:tc>
          <w:tcPr>
            <w:tcW w:w="1324" w:type="dxa"/>
            <w:noWrap w:val="0"/>
            <w:vAlign w:val="center"/>
          </w:tcPr>
          <w:p w14:paraId="5533DDC0">
            <w:pPr>
              <w:widowControl/>
              <w:adjustRightInd w:val="0"/>
              <w:snapToGrid w:val="0"/>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34</w:t>
            </w:r>
          </w:p>
        </w:tc>
        <w:tc>
          <w:tcPr>
            <w:tcW w:w="3106" w:type="dxa"/>
            <w:noWrap w:val="0"/>
            <w:vAlign w:val="center"/>
          </w:tcPr>
          <w:p w14:paraId="378AEE3E">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负责下属各社康及驻所门诊的环境保洁工作</w:t>
            </w:r>
          </w:p>
        </w:tc>
      </w:tr>
      <w:tr w14:paraId="3CE47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6" w:type="dxa"/>
            <w:shd w:val="clear" w:color="000000" w:fill="FFFFFF"/>
            <w:noWrap w:val="0"/>
            <w:vAlign w:val="center"/>
          </w:tcPr>
          <w:p w14:paraId="00077166">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16</w:t>
            </w:r>
          </w:p>
        </w:tc>
        <w:tc>
          <w:tcPr>
            <w:tcW w:w="1571" w:type="dxa"/>
            <w:vMerge w:val="continue"/>
            <w:noWrap w:val="0"/>
            <w:vAlign w:val="center"/>
          </w:tcPr>
          <w:p w14:paraId="29EF02D3">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6A23782D">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医疗垃圾岗</w:t>
            </w:r>
          </w:p>
        </w:tc>
        <w:tc>
          <w:tcPr>
            <w:tcW w:w="1324" w:type="dxa"/>
            <w:noWrap w:val="0"/>
            <w:vAlign w:val="center"/>
          </w:tcPr>
          <w:p w14:paraId="418A25B4">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3106" w:type="dxa"/>
            <w:noWrap w:val="0"/>
            <w:vAlign w:val="center"/>
          </w:tcPr>
          <w:p w14:paraId="407ECAF4">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负责中康院区、龙尾院区医废垃圾分类收集、清运、暂存、移交</w:t>
            </w:r>
          </w:p>
        </w:tc>
      </w:tr>
      <w:tr w14:paraId="525F7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46" w:type="dxa"/>
            <w:shd w:val="clear" w:color="000000" w:fill="FFFFFF"/>
            <w:noWrap w:val="0"/>
            <w:vAlign w:val="center"/>
          </w:tcPr>
          <w:p w14:paraId="4B88A70F">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17</w:t>
            </w:r>
          </w:p>
        </w:tc>
        <w:tc>
          <w:tcPr>
            <w:tcW w:w="1571" w:type="dxa"/>
            <w:vMerge w:val="continue"/>
            <w:noWrap w:val="0"/>
            <w:vAlign w:val="center"/>
          </w:tcPr>
          <w:p w14:paraId="73283C9C">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08B4C429">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保洁员机动岗</w:t>
            </w:r>
          </w:p>
        </w:tc>
        <w:tc>
          <w:tcPr>
            <w:tcW w:w="1324" w:type="dxa"/>
            <w:noWrap w:val="0"/>
            <w:vAlign w:val="center"/>
          </w:tcPr>
          <w:p w14:paraId="6ECEB393">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3106" w:type="dxa"/>
            <w:noWrap w:val="0"/>
            <w:vAlign w:val="center"/>
          </w:tcPr>
          <w:p w14:paraId="68643D96">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 xml:space="preserve">负责龙尾院区夜间保洁机动 </w:t>
            </w:r>
          </w:p>
        </w:tc>
      </w:tr>
      <w:tr w14:paraId="1CE5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46" w:type="dxa"/>
            <w:shd w:val="clear" w:color="000000" w:fill="FFFFFF"/>
            <w:noWrap w:val="0"/>
            <w:vAlign w:val="center"/>
          </w:tcPr>
          <w:p w14:paraId="1272112F">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18</w:t>
            </w:r>
          </w:p>
        </w:tc>
        <w:tc>
          <w:tcPr>
            <w:tcW w:w="1571" w:type="dxa"/>
            <w:vMerge w:val="continue"/>
            <w:noWrap w:val="0"/>
            <w:vAlign w:val="center"/>
          </w:tcPr>
          <w:p w14:paraId="221E9BA8">
            <w:pPr>
              <w:widowControl/>
              <w:spacing w:line="360" w:lineRule="auto"/>
              <w:jc w:val="left"/>
              <w:rPr>
                <w:rFonts w:hint="eastAsia" w:ascii="宋体" w:hAnsi="宋体" w:eastAsia="宋体" w:cs="宋体"/>
                <w:color w:val="000000"/>
                <w:kern w:val="0"/>
                <w:sz w:val="24"/>
                <w:szCs w:val="24"/>
              </w:rPr>
            </w:pPr>
          </w:p>
        </w:tc>
        <w:tc>
          <w:tcPr>
            <w:tcW w:w="2648" w:type="dxa"/>
            <w:noWrap w:val="0"/>
            <w:vAlign w:val="center"/>
          </w:tcPr>
          <w:p w14:paraId="2F99CD9D">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替岗休息</w:t>
            </w:r>
          </w:p>
        </w:tc>
        <w:tc>
          <w:tcPr>
            <w:tcW w:w="1324" w:type="dxa"/>
            <w:noWrap w:val="0"/>
            <w:vAlign w:val="center"/>
          </w:tcPr>
          <w:p w14:paraId="3613858D">
            <w:pPr>
              <w:widowControl/>
              <w:adjustRightInd w:val="0"/>
              <w:snapToGrid w:val="0"/>
              <w:spacing w:line="36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2</w:t>
            </w:r>
            <w:r>
              <w:rPr>
                <w:rFonts w:hint="eastAsia" w:ascii="宋体" w:hAnsi="宋体" w:eastAsia="宋体" w:cs="宋体"/>
                <w:kern w:val="0"/>
                <w:sz w:val="24"/>
                <w:szCs w:val="24"/>
                <w:lang w:val="en-US" w:eastAsia="zh-CN"/>
              </w:rPr>
              <w:t>6</w:t>
            </w:r>
          </w:p>
        </w:tc>
        <w:tc>
          <w:tcPr>
            <w:tcW w:w="3106" w:type="dxa"/>
            <w:noWrap w:val="0"/>
            <w:vAlign w:val="center"/>
          </w:tcPr>
          <w:p w14:paraId="54E525BA">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sz w:val="24"/>
                <w:szCs w:val="24"/>
              </w:rPr>
              <w:t>负责保洁部的替岗休息</w:t>
            </w:r>
          </w:p>
        </w:tc>
      </w:tr>
      <w:tr w14:paraId="0D892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965" w:type="dxa"/>
            <w:gridSpan w:val="3"/>
            <w:shd w:val="clear" w:color="000000" w:fill="FFFFFF"/>
            <w:noWrap w:val="0"/>
            <w:vAlign w:val="center"/>
          </w:tcPr>
          <w:p w14:paraId="6382E86A">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合   计</w:t>
            </w:r>
          </w:p>
        </w:tc>
        <w:tc>
          <w:tcPr>
            <w:tcW w:w="1324" w:type="dxa"/>
            <w:shd w:val="clear" w:color="000000" w:fill="FFFFFF"/>
            <w:noWrap w:val="0"/>
            <w:vAlign w:val="center"/>
          </w:tcPr>
          <w:p w14:paraId="76951464">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245</w:t>
            </w:r>
          </w:p>
        </w:tc>
        <w:tc>
          <w:tcPr>
            <w:tcW w:w="3106" w:type="dxa"/>
            <w:noWrap w:val="0"/>
            <w:vAlign w:val="bottom"/>
          </w:tcPr>
          <w:p w14:paraId="0CCF3DEA">
            <w:pPr>
              <w:widowControl/>
              <w:spacing w:line="360" w:lineRule="auto"/>
              <w:jc w:val="left"/>
              <w:rPr>
                <w:rFonts w:hint="eastAsia" w:ascii="宋体" w:hAnsi="宋体" w:eastAsia="宋体" w:cs="宋体"/>
                <w:color w:val="000000"/>
                <w:kern w:val="0"/>
                <w:sz w:val="24"/>
                <w:szCs w:val="24"/>
              </w:rPr>
            </w:pPr>
          </w:p>
        </w:tc>
      </w:tr>
    </w:tbl>
    <w:p w14:paraId="074D184C">
      <w:pPr>
        <w:spacing w:line="360" w:lineRule="auto"/>
        <w:rPr>
          <w:rFonts w:hint="eastAsia" w:ascii="宋体" w:hAnsi="宋体" w:eastAsia="宋体" w:cs="宋体"/>
          <w:b/>
          <w:sz w:val="24"/>
          <w:szCs w:val="24"/>
        </w:rPr>
      </w:pPr>
      <w:r>
        <w:rPr>
          <w:rFonts w:hint="eastAsia" w:ascii="宋体" w:hAnsi="宋体" w:eastAsia="宋体" w:cs="宋体"/>
          <w:b/>
          <w:sz w:val="24"/>
          <w:szCs w:val="24"/>
        </w:rPr>
        <w:t>2.人员素质要求:</w:t>
      </w:r>
    </w:p>
    <w:p w14:paraId="0B089CC8">
      <w:pPr>
        <w:keepNext w:val="0"/>
        <w:keepLines w:val="0"/>
        <w:pageBreakBefore w:val="0"/>
        <w:widowControl w:val="0"/>
        <w:numPr>
          <w:ilvl w:val="0"/>
          <w:numId w:val="0"/>
        </w:numPr>
        <w:kinsoku/>
        <w:overflowPunct/>
        <w:topLinePunct w:val="0"/>
        <w:autoSpaceDE/>
        <w:autoSpaceDN/>
        <w:bidi w:val="0"/>
        <w:spacing w:line="360" w:lineRule="auto"/>
        <w:ind w:left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人员素质：包括学历、职称、工作经验等</w:t>
      </w:r>
    </w:p>
    <w:p w14:paraId="1A36CC63">
      <w:pPr>
        <w:pStyle w:val="8"/>
        <w:keepNext w:val="0"/>
        <w:keepLines w:val="0"/>
        <w:pageBreakBefore w:val="0"/>
        <w:widowControl w:val="0"/>
        <w:tabs>
          <w:tab w:val="left" w:pos="426"/>
        </w:tabs>
        <w:kinsoku/>
        <w:overflowPunct/>
        <w:topLinePunct w:val="0"/>
        <w:autoSpaceDE/>
        <w:autoSpaceDN/>
        <w:bidi w:val="0"/>
        <w:adjustRightInd w:val="0"/>
        <w:snapToGrid w:val="0"/>
        <w:spacing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1）全体物业人员需身体健康，无传染性疾病，无违法犯罪记录，须进行健康体检合格后方能上岗。</w:t>
      </w:r>
    </w:p>
    <w:p w14:paraId="21206817">
      <w:pPr>
        <w:keepNext w:val="0"/>
        <w:keepLines w:val="0"/>
        <w:pageBreakBefore w:val="0"/>
        <w:widowControl w:val="0"/>
        <w:kinsoku/>
        <w:wordWrap w:val="0"/>
        <w:overflowPunct/>
        <w:topLinePunct w:val="0"/>
        <w:autoSpaceDE/>
        <w:autoSpaceDN/>
        <w:bidi w:val="0"/>
        <w:adjustRightInd w:val="0"/>
        <w:snapToGrid w:val="0"/>
        <w:spacing w:line="360" w:lineRule="auto"/>
        <w:ind w:left="0" w:firstLine="480" w:firstLineChars="200"/>
        <w:jc w:val="both"/>
        <w:textAlignment w:val="auto"/>
        <w:rPr>
          <w:rFonts w:hint="eastAsia" w:ascii="宋体" w:hAnsi="宋体" w:eastAsia="宋体" w:cs="宋体"/>
          <w:sz w:val="24"/>
          <w:szCs w:val="24"/>
          <w:highlight w:val="yellow"/>
        </w:rPr>
      </w:pPr>
      <w:r>
        <w:rPr>
          <w:rFonts w:hint="eastAsia" w:ascii="宋体" w:hAnsi="宋体" w:eastAsia="宋体" w:cs="宋体"/>
          <w:sz w:val="24"/>
          <w:szCs w:val="24"/>
        </w:rPr>
        <w:t>2）特殊岗位需按相关法律法规规定持证上岗。工程部人员须至少1人持有电梯安全管理员证（A）；工程部全体人员需具有特种作业操作证（作业类别：电工作业）；其中至少要有2人持有（作业类别：电工作业，准操项目：高压电工作业）。秩序维护部的消防监控岗人员须持有四级/中级建（构）筑消防员证书（或消防设施操作员）。秩序维护部的保安岗全体人员需持有保安员证。</w:t>
      </w:r>
    </w:p>
    <w:p w14:paraId="35D83FCA">
      <w:pPr>
        <w:pStyle w:val="8"/>
        <w:keepNext w:val="0"/>
        <w:keepLines w:val="0"/>
        <w:pageBreakBefore w:val="0"/>
        <w:widowControl w:val="0"/>
        <w:tabs>
          <w:tab w:val="left" w:pos="426"/>
        </w:tabs>
        <w:kinsoku/>
        <w:overflowPunct/>
        <w:topLinePunct w:val="0"/>
        <w:autoSpaceDE/>
        <w:autoSpaceDN/>
        <w:bidi w:val="0"/>
        <w:adjustRightInd w:val="0"/>
        <w:snapToGrid w:val="0"/>
        <w:spacing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3）项目负责人需具有3年或以上医院物业管理工作经验，</w:t>
      </w:r>
      <w:r>
        <w:rPr>
          <w:rFonts w:hint="eastAsia" w:ascii="宋体" w:hAnsi="宋体" w:eastAsia="宋体" w:cs="宋体"/>
          <w:sz w:val="24"/>
          <w:szCs w:val="24"/>
          <w:lang w:val="en-US" w:eastAsia="zh-CN"/>
        </w:rPr>
        <w:t>本科</w:t>
      </w:r>
      <w:r>
        <w:rPr>
          <w:rFonts w:hint="eastAsia" w:ascii="宋体" w:hAnsi="宋体" w:eastAsia="宋体" w:cs="宋体"/>
          <w:sz w:val="24"/>
          <w:szCs w:val="24"/>
        </w:rPr>
        <w:t xml:space="preserve">或以上学历，身体健康，品格良好，工作热情积极，沟通能力强。 </w:t>
      </w:r>
    </w:p>
    <w:p w14:paraId="0FE4BDC6">
      <w:pPr>
        <w:pStyle w:val="8"/>
        <w:keepNext w:val="0"/>
        <w:keepLines w:val="0"/>
        <w:pageBreakBefore w:val="0"/>
        <w:widowControl w:val="0"/>
        <w:tabs>
          <w:tab w:val="left" w:pos="426"/>
        </w:tabs>
        <w:kinsoku/>
        <w:overflowPunct/>
        <w:topLinePunct w:val="0"/>
        <w:autoSpaceDE/>
        <w:autoSpaceDN/>
        <w:bidi w:val="0"/>
        <w:adjustRightInd w:val="0"/>
        <w:snapToGrid w:val="0"/>
        <w:spacing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4）工程部人员50周岁或以下，身体健康，品格良好，吃苦耐劳，须具有2年以上机电维修工作经验。</w:t>
      </w:r>
    </w:p>
    <w:p w14:paraId="1792B46A">
      <w:pPr>
        <w:pStyle w:val="8"/>
        <w:keepNext w:val="0"/>
        <w:keepLines w:val="0"/>
        <w:pageBreakBefore w:val="0"/>
        <w:widowControl w:val="0"/>
        <w:tabs>
          <w:tab w:val="left" w:pos="426"/>
        </w:tabs>
        <w:kinsoku/>
        <w:overflowPunct/>
        <w:topLinePunct w:val="0"/>
        <w:autoSpaceDE/>
        <w:autoSpaceDN/>
        <w:bidi w:val="0"/>
        <w:adjustRightInd w:val="0"/>
        <w:snapToGrid w:val="0"/>
        <w:spacing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5）文员4</w:t>
      </w:r>
      <w:r>
        <w:rPr>
          <w:rFonts w:hint="eastAsia" w:ascii="宋体" w:hAnsi="宋体" w:eastAsia="宋体" w:cs="宋体"/>
          <w:sz w:val="24"/>
          <w:szCs w:val="24"/>
          <w:lang w:val="en-US" w:eastAsia="zh-CN"/>
        </w:rPr>
        <w:t>0</w:t>
      </w:r>
      <w:r>
        <w:rPr>
          <w:rFonts w:hint="eastAsia" w:ascii="宋体" w:hAnsi="宋体" w:eastAsia="宋体" w:cs="宋体"/>
          <w:sz w:val="24"/>
          <w:szCs w:val="24"/>
        </w:rPr>
        <w:t>周岁或以下，大专或以上学历，熟练掌握使用各类办公软件，思维严谨。</w:t>
      </w:r>
    </w:p>
    <w:p w14:paraId="699D1959">
      <w:pPr>
        <w:pStyle w:val="8"/>
        <w:keepNext w:val="0"/>
        <w:keepLines w:val="0"/>
        <w:pageBreakBefore w:val="0"/>
        <w:widowControl w:val="0"/>
        <w:tabs>
          <w:tab w:val="left" w:pos="426"/>
        </w:tabs>
        <w:kinsoku/>
        <w:overflowPunct/>
        <w:topLinePunct w:val="0"/>
        <w:autoSpaceDE/>
        <w:autoSpaceDN/>
        <w:bidi w:val="0"/>
        <w:adjustRightInd w:val="0"/>
        <w:snapToGrid w:val="0"/>
        <w:spacing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6）秩序维护岗人员及物运岗人员45周岁或以下，初中以上学历，身体健康，肯吃苦耐劳，退伍军人优先。</w:t>
      </w:r>
    </w:p>
    <w:p w14:paraId="24E67ABA">
      <w:pPr>
        <w:pStyle w:val="8"/>
        <w:keepNext w:val="0"/>
        <w:keepLines w:val="0"/>
        <w:pageBreakBefore w:val="0"/>
        <w:widowControl w:val="0"/>
        <w:tabs>
          <w:tab w:val="left" w:pos="426"/>
        </w:tabs>
        <w:kinsoku/>
        <w:overflowPunct/>
        <w:topLinePunct w:val="0"/>
        <w:autoSpaceDE/>
        <w:autoSpaceDN/>
        <w:bidi w:val="0"/>
        <w:adjustRightInd w:val="0"/>
        <w:snapToGrid w:val="0"/>
        <w:spacing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7）保洁部人员50周岁或以下，身体健康，具有一定的文化水平，能识字、写字；工作积极、细致。综合保洁员必须经护理部或病区护长考核后方可上岗，并定期接受培训，服务必须满足医疗服务规范要求，满足医疗服务应急需要。</w:t>
      </w:r>
    </w:p>
    <w:p w14:paraId="5D1CAE3C">
      <w:pPr>
        <w:keepNext w:val="0"/>
        <w:keepLines w:val="0"/>
        <w:pageBreakBefore w:val="0"/>
        <w:widowControl w:val="0"/>
        <w:kinsoku/>
        <w:overflowPunct/>
        <w:topLinePunct w:val="0"/>
        <w:autoSpaceDE/>
        <w:autoSpaceDN/>
        <w:bidi w:val="0"/>
        <w:spacing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8）中标人须与医院核定各岗位人数，同时须向医院提供物业员工花名册，人员变动时需及时更新花名册后提交存档。</w:t>
      </w:r>
    </w:p>
    <w:p w14:paraId="4FED06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（四）服务期限</w:t>
      </w:r>
    </w:p>
    <w:p w14:paraId="3DF9F0A6">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本项目为长期服务政府采购项目，服务期限最长为二十四个月，合同一年一签。如甲方对履约情况不满意，甲方不再续约。</w:t>
      </w:r>
    </w:p>
    <w:p w14:paraId="10314753">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kern w:val="2"/>
          <w:sz w:val="24"/>
          <w:szCs w:val="24"/>
          <w:lang w:val="en-US" w:eastAsia="zh-CN" w:bidi="ar-SA"/>
        </w:rPr>
        <w:t>（五）</w:t>
      </w:r>
      <w:r>
        <w:rPr>
          <w:rFonts w:hint="eastAsia" w:ascii="宋体" w:hAnsi="宋体" w:eastAsia="宋体" w:cs="宋体"/>
          <w:color w:val="auto"/>
          <w:lang w:val="en-US" w:eastAsia="zh-CN"/>
        </w:rPr>
        <w:t>服务指标要求</w:t>
      </w:r>
    </w:p>
    <w:p w14:paraId="359476E8">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color w:val="auto"/>
          <w:lang w:val="en-US" w:eastAsia="zh-CN"/>
        </w:rPr>
      </w:pPr>
      <w:r>
        <w:rPr>
          <w:rFonts w:hint="default" w:ascii="宋体" w:hAnsi="宋体" w:eastAsia="宋体" w:cs="宋体"/>
          <w:color w:val="auto"/>
          <w:lang w:val="en-US" w:eastAsia="zh-CN"/>
        </w:rPr>
        <w:t>1.杜绝火灾等安全事故。</w:t>
      </w:r>
    </w:p>
    <w:p w14:paraId="10022EE5">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color w:val="auto"/>
          <w:lang w:val="en-US" w:eastAsia="zh-CN"/>
        </w:rPr>
      </w:pPr>
      <w:r>
        <w:rPr>
          <w:rFonts w:hint="default" w:ascii="宋体" w:hAnsi="宋体" w:eastAsia="宋体" w:cs="宋体"/>
          <w:color w:val="auto"/>
          <w:lang w:val="en-US" w:eastAsia="zh-CN"/>
        </w:rPr>
        <w:t>2.环境卫生达标率100%。</w:t>
      </w:r>
    </w:p>
    <w:p w14:paraId="39EBAF54">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default" w:ascii="宋体" w:hAnsi="宋体" w:eastAsia="宋体" w:cs="宋体"/>
          <w:lang w:val="en-US" w:eastAsia="zh-CN"/>
        </w:rPr>
        <w:t>3.院感防控达标率100%。</w:t>
      </w:r>
    </w:p>
    <w:p w14:paraId="4BAB2A73">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default" w:ascii="宋体" w:hAnsi="宋体" w:eastAsia="宋体" w:cs="宋体"/>
          <w:lang w:val="en-US" w:eastAsia="zh-CN"/>
        </w:rPr>
        <w:t>4.用户满意及基本满意率100%。</w:t>
      </w:r>
    </w:p>
    <w:p w14:paraId="14204DD8">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default" w:ascii="宋体" w:hAnsi="宋体" w:eastAsia="宋体" w:cs="宋体"/>
          <w:lang w:val="en-US" w:eastAsia="zh-CN"/>
        </w:rPr>
        <w:t>5.有效投诉处理率100%。</w:t>
      </w:r>
    </w:p>
    <w:p w14:paraId="1EAA26E9">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default" w:ascii="宋体" w:hAnsi="宋体" w:eastAsia="宋体" w:cs="宋体"/>
          <w:lang w:val="en-US" w:eastAsia="zh-CN"/>
        </w:rPr>
        <w:t>6.有效投诉率低于0.2%。</w:t>
      </w:r>
    </w:p>
    <w:p w14:paraId="48C151AB">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default" w:ascii="宋体" w:hAnsi="宋体" w:eastAsia="宋体" w:cs="宋体"/>
          <w:lang w:val="en-US" w:eastAsia="zh-CN"/>
        </w:rPr>
        <w:t>7.房屋及公共配套设备、设施完好率95%以上。</w:t>
      </w:r>
    </w:p>
    <w:p w14:paraId="0E66946B">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default" w:ascii="宋体" w:hAnsi="宋体" w:eastAsia="宋体" w:cs="宋体"/>
          <w:lang w:val="en-US" w:eastAsia="zh-CN"/>
        </w:rPr>
        <w:t>8.治安案件发生率为零，无任何重大事故发生。</w:t>
      </w:r>
    </w:p>
    <w:p w14:paraId="30987966">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default" w:ascii="宋体" w:hAnsi="宋体" w:eastAsia="宋体" w:cs="宋体"/>
          <w:lang w:val="en-US" w:eastAsia="zh-CN"/>
        </w:rPr>
        <w:t>9.未尽事宜，依照主管部门及物业管理部门的相关规定执行。</w:t>
      </w:r>
    </w:p>
    <w:p w14:paraId="497EDA91">
      <w:pPr>
        <w:pStyle w:val="3"/>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rPr>
      </w:pPr>
      <w:r>
        <w:rPr>
          <w:rFonts w:hint="eastAsia" w:ascii="宋体" w:hAnsi="宋体" w:eastAsia="宋体" w:cs="宋体"/>
          <w:lang w:val="en-US" w:eastAsia="zh-CN"/>
        </w:rPr>
        <w:t>（六）</w:t>
      </w:r>
      <w:r>
        <w:rPr>
          <w:rFonts w:hint="eastAsia"/>
        </w:rPr>
        <w:t>其他要求</w:t>
      </w:r>
    </w:p>
    <w:p w14:paraId="4C0E2FF4">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（1）本项目每月费用按实际启用服务、到岗人员及物业月度质量考评结果核算支付。</w:t>
      </w:r>
    </w:p>
    <w:p w14:paraId="5C71CF90">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（2）中标人要配备一定数量的劳保工具以保证各项服务的顺利开展。在服务期内，中标人所有员工的劳动安全责任由中标人承担，所有员工的身体疾患问题由中标人自行依法依规解决。</w:t>
      </w:r>
    </w:p>
    <w:p w14:paraId="6F187884">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（3）公共水电费及发电机燃油费由采购人承担（包括卫生间、清洁卫生、生活等各类用水；消防、水泵、照明、电梯、各类机电设备的用电）。</w:t>
      </w:r>
    </w:p>
    <w:p w14:paraId="09A7CF58">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 xml:space="preserve">（4）清洁用品、清洁工具、生活垃圾袋、医疗废物袋、消毒粉、洁厕液、沙发清洗剂和保护剂、PVC地板养护用蜡等由中标人承担。 </w:t>
      </w:r>
    </w:p>
    <w:p w14:paraId="136962AD">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（5）春节、五一、十一等法定假期加班工作安排，由中标人负责安排，采购人不额外支付费用。</w:t>
      </w:r>
    </w:p>
    <w:p w14:paraId="1D404D72">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（6）本项目投标服务费用采用包干制，包括但不限于项目服务成本、法定税费和企业利润等费用。</w:t>
      </w:r>
    </w:p>
    <w:p w14:paraId="41F3B7BB">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7）中标人在合同执行期间，须接受采购人主管部门和采购人的监管。物业管理合同须设定条款明确物业管理费最终支付与病人及职工满意度、考评情况挂钩；同时明确如中标人无法达到采购人的服务要求，并未及时整改达标，采购人有权解除与中标人的物业服务管理合同，由中标人承担违约和赔偿责任。</w:t>
      </w:r>
    </w:p>
    <w:p w14:paraId="1A27AC90">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8）采购人有权对中标人提供的服务进行质量考评，设立后勤管理委员会和制定物业质量考评标准，并根据实际情况适时调整、完善。采购人每月对中标人的秩序维护服务、清洁卫生服务、设施设备管理服务、绿化养护（含绿植摆放）服务及综合服务五个板块进行服务考评，如考评不达标采购人有权依据物业管理服务合同扣减相应考评服务费。</w:t>
      </w:r>
    </w:p>
    <w:p w14:paraId="1C4AC293">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（9）中标人需接受物业管理主管部门及有关政府部门的监督、指导。</w:t>
      </w:r>
    </w:p>
    <w:p w14:paraId="24CC085E">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（10）报价方式：投标人按服务需求报总价，同时提供具体分项报价明细。</w:t>
      </w:r>
    </w:p>
    <w:p w14:paraId="43A02547">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lang w:val="en-US" w:eastAsia="zh-CN"/>
        </w:rPr>
      </w:pPr>
      <w:r>
        <w:rPr>
          <w:rFonts w:hint="eastAsia" w:ascii="宋体" w:hAnsi="宋体" w:eastAsia="宋体" w:cs="宋体"/>
          <w:b/>
          <w:bCs/>
          <w:lang w:val="en-US" w:eastAsia="zh-CN"/>
        </w:rPr>
        <w:t>三、商务需求</w:t>
      </w:r>
    </w:p>
    <w:p w14:paraId="46E54739">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服务期</w:t>
      </w:r>
      <w:r>
        <w:rPr>
          <w:rFonts w:hint="eastAsia" w:ascii="宋体" w:hAnsi="宋体" w:eastAsia="宋体" w:cs="宋体"/>
          <w:color w:val="auto"/>
          <w:sz w:val="24"/>
          <w:szCs w:val="24"/>
          <w:lang w:val="en-US" w:eastAsia="zh-CN"/>
        </w:rPr>
        <w:t>限</w:t>
      </w:r>
      <w:r>
        <w:rPr>
          <w:rFonts w:hint="eastAsia" w:ascii="宋体" w:hAnsi="宋体" w:eastAsia="宋体" w:cs="宋体"/>
          <w:color w:val="auto"/>
          <w:sz w:val="24"/>
          <w:szCs w:val="24"/>
        </w:rPr>
        <w:t>要求</w:t>
      </w:r>
    </w:p>
    <w:p w14:paraId="3A80FAB4">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本项目为长期服务政府采购项目，服务期限最长为二十四个月，合同一年一签。如甲方对履约情况不满意，甲方不再续约。</w:t>
      </w:r>
    </w:p>
    <w:p w14:paraId="339EE337">
      <w:pPr>
        <w:pStyle w:val="3"/>
        <w:numPr>
          <w:ilvl w:val="0"/>
          <w:numId w:val="0"/>
        </w:numPr>
        <w:ind w:left="0" w:leftChars="0" w:firstLine="420" w:firstLineChars="175"/>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lang w:val="en-US" w:eastAsia="zh-CN"/>
        </w:rPr>
        <w:t>服务地点</w:t>
      </w:r>
    </w:p>
    <w:p w14:paraId="688648A4">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深圳市福田区第二人民医院中康院区、龙尾院区、下属各社康中心。</w:t>
      </w:r>
    </w:p>
    <w:p w14:paraId="377682BA">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lang w:val="en-US" w:eastAsia="zh-CN"/>
        </w:rPr>
        <w:t>付款方式</w:t>
      </w:r>
    </w:p>
    <w:p w14:paraId="29DD695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服务费用按月结算，每月凭中标人完税发票及相关结算单据，由采购人审核原始凭证无误后10个工作日付款。</w:t>
      </w:r>
    </w:p>
    <w:p w14:paraId="0BF76FF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4.关于验收</w:t>
      </w:r>
    </w:p>
    <w:p w14:paraId="4201C537">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1）服务经过双方检验认可后，签署验收报告。</w:t>
      </w:r>
    </w:p>
    <w:p w14:paraId="5022ABE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2）当满足以下条件时，采购人才向中标人签发验收报告：</w:t>
      </w:r>
    </w:p>
    <w:p w14:paraId="6028E0E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a、中标人已按照合同规定提供了全部</w:t>
      </w:r>
      <w:r>
        <w:rPr>
          <w:rFonts w:hint="eastAsia" w:ascii="宋体" w:hAnsi="宋体" w:eastAsia="宋体" w:cs="宋体"/>
          <w:sz w:val="24"/>
          <w:szCs w:val="24"/>
          <w:lang w:val="en-US" w:eastAsia="zh-CN"/>
        </w:rPr>
        <w:t>技术资料</w:t>
      </w:r>
    </w:p>
    <w:p w14:paraId="29348F9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b、服务项目符合招标文件的服务要求</w:t>
      </w:r>
    </w:p>
    <w:p w14:paraId="5B2C24EF">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textAlignment w:val="auto"/>
        <w:rPr>
          <w:rFonts w:hint="default" w:ascii="宋体" w:hAnsi="宋体" w:eastAsia="宋体" w:cs="宋体"/>
          <w:b w:val="0"/>
          <w:bCs w:val="0"/>
          <w:szCs w:val="21"/>
          <w:lang w:val="en-US" w:eastAsia="zh-CN"/>
        </w:rPr>
      </w:pPr>
      <w:r>
        <w:rPr>
          <w:rFonts w:hint="eastAsia" w:ascii="宋体" w:hAnsi="宋体" w:eastAsia="宋体" w:cs="宋体"/>
          <w:kern w:val="2"/>
          <w:sz w:val="24"/>
          <w:szCs w:val="24"/>
          <w:lang w:val="en-US" w:eastAsia="zh-CN" w:bidi="ar-SA"/>
        </w:rPr>
        <w:t>5.</w:t>
      </w:r>
      <w:r>
        <w:rPr>
          <w:rFonts w:hint="eastAsia" w:ascii="宋体" w:hAnsi="宋体" w:eastAsia="宋体" w:cs="宋体"/>
          <w:b w:val="0"/>
          <w:bCs w:val="0"/>
          <w:szCs w:val="21"/>
          <w:lang w:val="en-US" w:eastAsia="zh-CN"/>
        </w:rPr>
        <w:t>其他要求</w:t>
      </w:r>
    </w:p>
    <w:p w14:paraId="6B4194A1">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5.1.投标人满足《保安服务管理条例》《公安机关实施保安服务管理条例办法》等有关规定要求的从业许可和备案要求。</w:t>
      </w:r>
    </w:p>
    <w:p w14:paraId="682DA145">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5.2.如因中标人原因，造成采购人不能完成规定的管理目标或直接造成采购人经济损失或致使采购人声誉受损的，采购人有权要求乙方赔偿损失并承担违约责任，同时采购人有权要求中标人限期整改，中标人在采购人规定期限内无法整改到位的，则采购人有权解除合同。</w:t>
      </w:r>
    </w:p>
    <w:p w14:paraId="5E94259C">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5.3.合同履行期间，所有委托管理项目如因中标人未执行国家、地方相关政策法规、或因管理不善、服务不规范等原因引发事故、纠纷，或致使采购人遭受损失或受到主管部门的处罚，由中标人承担赔偿责任及该等处罚。</w:t>
      </w:r>
    </w:p>
    <w:p w14:paraId="5A9FD27B">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5.4.合同履行期间，因中标人管理不善或操作不当等原因造成重大事故的，由中标人承担由此产生的各项责任（包括但不限于民事责任、行政责任及刑事责任），并负责善后处理（产生事故的直接原因，以政府有关部门的鉴定结论为准）。</w:t>
      </w:r>
    </w:p>
    <w:p w14:paraId="38A2F2BC">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5.5.中标人承诺应按照《中华人民共和国劳动合同法》以及相关的法律、法规与其员工签订劳动合同、足额支付劳动报酬、购买社会保险等。如果中标人员工与其发生劳动争议，由中标人全权负责，与采购人无关。</w:t>
      </w:r>
    </w:p>
    <w:p w14:paraId="4B115AC2">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5.6.因中标人理不善或操作不当等原因对房屋建筑或设施设备等造成重大损害或发生重大事故的，由中标人承担责任并负责善后处理（产生事故的直接原因，以政府有关部门的鉴定结论为准）。</w:t>
      </w:r>
    </w:p>
    <w:p w14:paraId="072CD9CF">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5.7.人员须按投标文件方案配置人员到位并符合招标文件要求；设备按投标文件配置的设备清单入场使用并符合招标文件要求。采购人检查发现人员、设备到位不一致的，按违规处理。采购人可责令中标人限期整改，如中标人一个月内仍未达到要求，则采购人有权解除合同。</w:t>
      </w:r>
    </w:p>
    <w:p w14:paraId="2E5F11E2">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5.8.合同履行期间，如中标人连续三个月或者一年内累计六个月出现物业服务质量考评整体得分平均值低于85%的，采购人有权解除合同。</w:t>
      </w:r>
    </w:p>
    <w:p w14:paraId="3AF75945">
      <w:r>
        <w:rPr>
          <w:rFonts w:hint="eastAsia" w:ascii="宋体" w:hAnsi="宋体" w:eastAsia="宋体" w:cs="宋体"/>
          <w:b w:val="0"/>
          <w:bCs w:val="0"/>
          <w:szCs w:val="21"/>
          <w:lang w:val="en-US" w:eastAsia="zh-CN"/>
        </w:rPr>
        <w:t>5.9.在合同执行期间，中标单位须接受市、区行业主管部门的监管。合同终止时，中标单位应将各项目条款的工作记录、设施管理使用及检测记录等移交给采购人。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6C50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Body Text 2"/>
    <w:basedOn w:val="1"/>
    <w:qFormat/>
    <w:uiPriority w:val="0"/>
    <w:pPr>
      <w:spacing w:line="360" w:lineRule="auto"/>
    </w:pPr>
    <w:rPr>
      <w:sz w:val="24"/>
    </w:rPr>
  </w:style>
  <w:style w:type="paragraph" w:styleId="4">
    <w:name w:val="Normal (Web)"/>
    <w:basedOn w:val="1"/>
    <w:uiPriority w:val="0"/>
    <w:pPr>
      <w:spacing w:before="100" w:beforeAutospacing="1" w:after="100" w:afterAutospacing="1"/>
      <w:ind w:left="0" w:right="0"/>
      <w:jc w:val="left"/>
    </w:pPr>
    <w:rPr>
      <w:kern w:val="0"/>
      <w:sz w:val="24"/>
      <w:lang w:val="en-US" w:eastAsia="zh-CN" w:bidi="ar"/>
    </w:rPr>
  </w:style>
  <w:style w:type="character" w:styleId="7">
    <w:name w:val="Strong"/>
    <w:qFormat/>
    <w:uiPriority w:val="0"/>
    <w:rPr>
      <w:b/>
    </w:rPr>
  </w:style>
  <w:style w:type="paragraph" w:styleId="8">
    <w:name w:val="List Paragraph"/>
    <w:basedOn w:val="1"/>
    <w:qFormat/>
    <w:uiPriority w:val="34"/>
    <w:pPr>
      <w:ind w:firstLine="420" w:firstLineChars="200"/>
    </w:pPr>
  </w:style>
  <w:style w:type="paragraph" w:customStyle="1" w:styleId="9">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2025-04-02T04:00:59Z</dcterms:created>
  <dc:creator>Administrator</dc:creator>
  <cp:lastModifiedBy>LC</cp:lastModifiedBy>
  <dcterms:modified xsi:type="dcterms:W3CDTF">2025-04-02T04:01:05Z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BDC379741E7143FF85AB02CC998D8766_12</vt:lpwstr>
  </property>
</Properties>
</file>