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3B5547">
      <w:pPr>
        <w:pStyle w:val="16"/>
        <w:widowControl/>
        <w:shd w:val="clear" w:color="auto" w:fill="FFFFFF"/>
        <w:spacing w:before="0" w:beforeAutospacing="0" w:after="0" w:afterAutospacing="0" w:line="360" w:lineRule="auto"/>
        <w:jc w:val="both"/>
        <w:rPr>
          <w:rStyle w:val="21"/>
          <w:rFonts w:hint="eastAsia" w:ascii="仿宋" w:hAnsi="仿宋" w:eastAsia="仿宋" w:cs="仿宋"/>
          <w:color w:val="auto"/>
          <w:sz w:val="28"/>
          <w:szCs w:val="28"/>
          <w:highlight w:val="none"/>
          <w:shd w:val="clear" w:color="auto" w:fill="FFFFFF"/>
          <w:lang w:val="en-US" w:eastAsia="zh-CN" w:bidi="ar"/>
        </w:rPr>
      </w:pPr>
      <w:r>
        <w:rPr>
          <w:rStyle w:val="21"/>
          <w:rFonts w:hint="eastAsia" w:ascii="仿宋" w:hAnsi="仿宋" w:eastAsia="仿宋" w:cs="仿宋"/>
          <w:color w:val="auto"/>
          <w:sz w:val="28"/>
          <w:szCs w:val="28"/>
          <w:highlight w:val="none"/>
          <w:shd w:val="clear" w:color="auto" w:fill="FFFFFF"/>
          <w:lang w:bidi="ar"/>
        </w:rPr>
        <w:t>附件1</w:t>
      </w:r>
      <w:r>
        <w:rPr>
          <w:rStyle w:val="21"/>
          <w:rFonts w:hint="eastAsia" w:ascii="仿宋" w:hAnsi="仿宋" w:eastAsia="仿宋" w:cs="仿宋"/>
          <w:color w:val="auto"/>
          <w:sz w:val="28"/>
          <w:szCs w:val="28"/>
          <w:highlight w:val="none"/>
          <w:shd w:val="clear" w:color="auto" w:fill="FFFFFF"/>
          <w:lang w:val="en-US" w:eastAsia="zh-CN" w:bidi="ar"/>
        </w:rPr>
        <w:t>-采购需求（征求意见稿）</w:t>
      </w:r>
    </w:p>
    <w:p w14:paraId="44B6E3A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黑体" w:hAnsi="黑体" w:eastAsia="黑体" w:cs="黑体"/>
          <w:sz w:val="40"/>
          <w:szCs w:val="40"/>
          <w:highlight w:val="none"/>
          <w:lang w:val="en-US" w:eastAsia="zh-CN"/>
        </w:rPr>
      </w:pPr>
      <w:r>
        <w:rPr>
          <w:rFonts w:hint="eastAsia" w:ascii="黑体" w:hAnsi="黑体" w:eastAsia="黑体" w:cs="黑体"/>
          <w:sz w:val="32"/>
          <w:szCs w:val="32"/>
          <w:highlight w:val="none"/>
          <w:lang w:val="en-US" w:eastAsia="zh-CN"/>
        </w:rPr>
        <w:t>一、采购需求</w:t>
      </w:r>
    </w:p>
    <w:p w14:paraId="75F23B00">
      <w:pPr>
        <w:pStyle w:val="2"/>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楷体_GB2312" w:hAnsi="楷体_GB2312" w:eastAsia="楷体_GB2312" w:cs="楷体_GB2312"/>
          <w:b/>
          <w:bCs/>
          <w:sz w:val="28"/>
          <w:szCs w:val="28"/>
          <w:lang w:val="en-US" w:eastAsia="zh-CN"/>
        </w:rPr>
      </w:pPr>
      <w:r>
        <w:rPr>
          <w:rFonts w:hint="eastAsia" w:ascii="楷体_GB2312" w:hAnsi="楷体_GB2312" w:eastAsia="楷体_GB2312" w:cs="楷体_GB2312"/>
          <w:b/>
          <w:bCs/>
          <w:sz w:val="28"/>
          <w:szCs w:val="28"/>
          <w:lang w:val="en-US" w:eastAsia="zh-CN"/>
        </w:rPr>
        <w:t>（一）项目基本情况</w:t>
      </w:r>
    </w:p>
    <w:p w14:paraId="0C0B2A7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10" w:lineRule="atLeast"/>
        <w:ind w:left="0" w:right="0" w:firstLine="0"/>
        <w:jc w:val="center"/>
        <w:rPr>
          <w:rFonts w:hint="default" w:ascii="仿宋_GB2312" w:hAnsi="仿宋_GB2312" w:eastAsia="仿宋_GB2312" w:cs="仿宋_GB2312"/>
          <w:b w:val="0"/>
          <w:bCs w:val="0"/>
          <w:sz w:val="28"/>
          <w:szCs w:val="28"/>
          <w:u w:val="single"/>
          <w:lang w:val="en-US" w:eastAsia="zh-CN"/>
        </w:rPr>
      </w:pPr>
      <w:r>
        <w:rPr>
          <w:rFonts w:hint="eastAsia" w:ascii="仿宋_GB2312" w:hAnsi="仿宋_GB2312" w:eastAsia="仿宋_GB2312" w:cs="仿宋_GB2312"/>
          <w:b w:val="0"/>
          <w:bCs w:val="0"/>
          <w:sz w:val="28"/>
          <w:szCs w:val="28"/>
          <w:lang w:val="en-US" w:eastAsia="zh-CN"/>
        </w:rPr>
        <w:t>项目名称：</w:t>
      </w:r>
      <w:r>
        <w:rPr>
          <w:rFonts w:hint="default" w:ascii="仿宋_GB2312" w:hAnsi="仿宋_GB2312" w:eastAsia="仿宋_GB2312" w:cs="仿宋_GB2312"/>
          <w:b w:val="0"/>
          <w:bCs w:val="0"/>
          <w:kern w:val="2"/>
          <w:sz w:val="28"/>
          <w:szCs w:val="28"/>
          <w:u w:val="single"/>
          <w:lang w:val="en-US" w:eastAsia="zh-CN" w:bidi="ar-SA"/>
        </w:rPr>
        <w:t>深圳市市场监督管理局福田监管局服务大厅窗口辅助项目</w:t>
      </w:r>
    </w:p>
    <w:p w14:paraId="27B622ED">
      <w:pPr>
        <w:pStyle w:val="2"/>
        <w:keepNext w:val="0"/>
        <w:keepLines w:val="0"/>
        <w:pageBreakBefore w:val="0"/>
        <w:widowControl w:val="0"/>
        <w:tabs>
          <w:tab w:val="left" w:leader="underscore" w:pos="210"/>
        </w:tabs>
        <w:kinsoku/>
        <w:wordWrap/>
        <w:overflowPunct/>
        <w:topLinePunct w:val="0"/>
        <w:autoSpaceDE/>
        <w:autoSpaceDN/>
        <w:bidi w:val="0"/>
        <w:adjustRightInd/>
        <w:snapToGrid/>
        <w:spacing w:line="500" w:lineRule="exact"/>
        <w:textAlignment w:val="auto"/>
        <w:rPr>
          <w:rFonts w:hint="default"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预算金额：</w:t>
      </w:r>
      <w:r>
        <w:rPr>
          <w:rFonts w:hint="eastAsia" w:ascii="仿宋_GB2312" w:hAnsi="仿宋_GB2312" w:eastAsia="仿宋_GB2312" w:cs="仿宋_GB2312"/>
          <w:b w:val="0"/>
          <w:bCs w:val="0"/>
          <w:sz w:val="28"/>
          <w:szCs w:val="28"/>
          <w:u w:val="single"/>
          <w:lang w:val="en-US" w:eastAsia="zh-CN"/>
        </w:rPr>
        <w:t>6,000,000.00元</w:t>
      </w:r>
    </w:p>
    <w:p w14:paraId="554394CA">
      <w:pPr>
        <w:pStyle w:val="2"/>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楷体_GB2312" w:hAnsi="楷体_GB2312" w:eastAsia="楷体_GB2312" w:cs="楷体_GB2312"/>
          <w:b/>
          <w:bCs/>
          <w:sz w:val="28"/>
          <w:szCs w:val="28"/>
          <w:lang w:val="en-US" w:eastAsia="zh-CN"/>
        </w:rPr>
      </w:pPr>
      <w:r>
        <w:rPr>
          <w:rFonts w:hint="eastAsia" w:ascii="楷体_GB2312" w:hAnsi="楷体_GB2312" w:eastAsia="楷体_GB2312" w:cs="楷体_GB2312"/>
          <w:b/>
          <w:bCs/>
          <w:sz w:val="28"/>
          <w:szCs w:val="28"/>
          <w:lang w:val="en-US" w:eastAsia="zh-CN"/>
        </w:rPr>
        <w:t>（二）采购需求</w:t>
      </w:r>
    </w:p>
    <w:p w14:paraId="13783917">
      <w:pPr>
        <w:keepNext w:val="0"/>
        <w:keepLines w:val="0"/>
        <w:widowControl w:val="0"/>
        <w:suppressLineNumbers w:val="0"/>
        <w:spacing w:before="0" w:beforeAutospacing="0" w:after="0" w:afterAutospacing="0" w:line="560" w:lineRule="exact"/>
        <w:ind w:right="0"/>
        <w:jc w:val="both"/>
        <w:rPr>
          <w:rFonts w:hint="eastAsia" w:ascii="仿宋_GB2312" w:hAnsi="仿宋_GB2312" w:eastAsia="仿宋_GB2312" w:cs="仿宋_GB2312"/>
          <w:b/>
          <w:bCs/>
          <w:i/>
          <w:iCs/>
          <w:color w:val="auto"/>
          <w:sz w:val="28"/>
          <w:szCs w:val="28"/>
          <w:lang w:val="en-US" w:eastAsia="zh-CN"/>
        </w:rPr>
      </w:pPr>
      <w:r>
        <w:rPr>
          <w:rFonts w:hint="eastAsia" w:ascii="仿宋_GB2312" w:hAnsi="仿宋_GB2312" w:eastAsia="仿宋_GB2312" w:cs="仿宋_GB2312"/>
          <w:b/>
          <w:bCs/>
          <w:sz w:val="28"/>
          <w:szCs w:val="28"/>
          <w:lang w:val="en-US" w:eastAsia="zh-CN"/>
        </w:rPr>
        <w:t>1、采购项目概况</w:t>
      </w:r>
    </w:p>
    <w:p w14:paraId="3544D8C6">
      <w:pPr>
        <w:pStyle w:val="2"/>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kern w:val="2"/>
          <w:sz w:val="28"/>
          <w:szCs w:val="28"/>
          <w:u w:val="none"/>
          <w:lang w:val="en-US" w:eastAsia="zh-CN" w:bidi="ar-SA"/>
        </w:rPr>
      </w:pPr>
      <w:r>
        <w:rPr>
          <w:rFonts w:hint="eastAsia" w:ascii="仿宋_GB2312" w:hAnsi="仿宋_GB2312" w:eastAsia="仿宋_GB2312" w:cs="仿宋_GB2312"/>
          <w:b w:val="0"/>
          <w:bCs w:val="0"/>
          <w:kern w:val="2"/>
          <w:sz w:val="28"/>
          <w:szCs w:val="28"/>
          <w:u w:val="none"/>
          <w:lang w:val="en-US" w:eastAsia="zh-CN" w:bidi="ar-SA"/>
        </w:rPr>
        <w:t>福田区政务服务中心市场监管服务厅位于深圳市福田区新沙路7号市市场监管局福田局一至三层。一楼设有咨询领号区，二、三楼设有窗口业务办理区、后台全流程处理区、自助服务区等多功能区域。主要办理福田区各类商事主体登记注册业务及食品、药品、医疗器械、特种设备行政审批服务事项的受理、材料审核、审批、现场核查、证书发放、业务咨询工作，以及农业、畜牧业行政许可事项的证书发放工作。目前，福田区政务服务中心市场监管服务厅业务量持续高位运行，日均窗口办件达450余笔、业务咨询超800次、现场导办 400余单，全流程业务日均总处理量突破1500笔。随着高质量政务服务推进，业务量呈持续增长态势，现有服务力量已难以满足高效办理需求，引入标准化专业化辅助支持的紧迫性日益凸显。</w:t>
      </w:r>
    </w:p>
    <w:p w14:paraId="567DBF7A">
      <w:pPr>
        <w:pStyle w:val="2"/>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default"/>
          <w:u w:val="none"/>
          <w:lang w:val="en-US" w:eastAsia="zh-CN"/>
        </w:rPr>
      </w:pPr>
      <w:r>
        <w:rPr>
          <w:rFonts w:hint="eastAsia" w:ascii="仿宋_GB2312" w:hAnsi="仿宋_GB2312" w:eastAsia="仿宋_GB2312" w:cs="仿宋_GB2312"/>
          <w:b w:val="0"/>
          <w:bCs w:val="0"/>
          <w:kern w:val="2"/>
          <w:sz w:val="28"/>
          <w:szCs w:val="28"/>
          <w:u w:val="none"/>
          <w:lang w:val="en-US" w:eastAsia="zh-CN" w:bidi="ar-SA"/>
        </w:rPr>
        <w:t>为营造更优营商环境，持续推进市场监管服务厅政务服务运行标准化、服务供给规范化、企业和群众办事便利化，提升区政务服务中心整体政务服务质量和群众办事满意度，现拟通过购买服务方式，将福田区政务服务中心市场监管服务厅除主责主业外的业务咨询、现场发号、业务导办、窗口收件、材料初查、信息整理、证书发证及材料整理等事项委托给专业服务公司，释放审批资源，提升核心效能，实现福田区政务服务中心市场监管服务厅政务服务升级，打造有温度的市场监管政务服务。</w:t>
      </w:r>
    </w:p>
    <w:p w14:paraId="2B134E46">
      <w:pPr>
        <w:pStyle w:val="4"/>
        <w:keepNext w:val="0"/>
        <w:keepLines w:val="0"/>
        <w:pageBreakBefore w:val="0"/>
        <w:widowControl w:val="0"/>
        <w:kinsoku/>
        <w:wordWrap/>
        <w:overflowPunct/>
        <w:topLinePunct w:val="0"/>
        <w:autoSpaceDE/>
        <w:autoSpaceDN/>
        <w:bidi w:val="0"/>
        <w:snapToGrid/>
        <w:spacing w:line="440" w:lineRule="exact"/>
        <w:jc w:val="both"/>
        <w:rPr>
          <w:rFonts w:hint="eastAsia" w:ascii="仿宋_GB2312" w:hAnsi="仿宋_GB2312" w:eastAsia="仿宋_GB2312" w:cs="仿宋_GB2312"/>
          <w:b/>
          <w:bCs/>
          <w:sz w:val="28"/>
          <w:szCs w:val="28"/>
          <w:u w:val="none"/>
          <w:lang w:val="en-US" w:eastAsia="zh-CN"/>
        </w:rPr>
      </w:pPr>
      <w:r>
        <w:rPr>
          <w:rFonts w:hint="eastAsia" w:ascii="仿宋_GB2312" w:hAnsi="仿宋_GB2312" w:eastAsia="仿宋_GB2312" w:cs="仿宋_GB2312"/>
          <w:b/>
          <w:bCs/>
          <w:sz w:val="28"/>
          <w:szCs w:val="28"/>
          <w:u w:val="none"/>
          <w:lang w:val="en-US" w:eastAsia="zh-CN"/>
        </w:rPr>
        <w:t>2、技术要求与商务要求</w:t>
      </w:r>
    </w:p>
    <w:p w14:paraId="5150716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（一）服务内容</w:t>
      </w:r>
    </w:p>
    <w:p w14:paraId="215B34DE">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1.业务咨询与发号服务</w:t>
      </w:r>
    </w:p>
    <w:p w14:paraId="145E8261">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（1）现场咨询：在咨询领号区为办事人员提供面对面咨询，精准解答业务办理条件、流程、所需材料、办理时限等疑问，提供业务办理指引。</w:t>
      </w:r>
    </w:p>
    <w:p w14:paraId="314EE596">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（2）电话咨询：设立专用咨询电话，按规定时限接听，规范记录咨询问题及答复结果，对于复杂问题需准确告知后续反馈路径及时限。</w:t>
      </w:r>
    </w:p>
    <w:p w14:paraId="20E3DED8">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（3）发号与表格服务：严格按照取号规则为办事人员发放业务号码，有序引导等候；提供各类业务表格的领取、填写指引，确保办事人员获取对应业务的规范表格。</w:t>
      </w:r>
    </w:p>
    <w:p w14:paraId="403A1D6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lang w:val="en-US" w:eastAsia="zh-CN"/>
        </w:rPr>
        <w:t>2.全流程导办服务</w:t>
      </w:r>
    </w:p>
    <w:p w14:paraId="3BFA4AEB">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（1）自助服务区导办：在自助服务区为办事人员提供自助终端操作指导（包括网上申报、材料上传、结果查询等），协助解决操作过程中遇到的技术问题，确保自助办理顺畅。</w:t>
      </w:r>
    </w:p>
    <w:p w14:paraId="055A7ED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（2）填表区导办：在填表区现场指导办事人员规范填写表格，核对关键信息完整性、准确性，提醒必填项、易错项，避免因表格填写问题影响后续办理。</w:t>
      </w:r>
    </w:p>
    <w:p w14:paraId="3B81EDA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（3）跨部门指引：对于不属于本服务厅办理的业务，需准确告知办事人员对应办理部门、地址、联系方式及办理流程，实现“一次告知、少跑弯路”。</w:t>
      </w:r>
    </w:p>
    <w:p w14:paraId="5152D90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3.全流程辅助服务</w:t>
      </w:r>
    </w:p>
    <w:p w14:paraId="49A8A9B9">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（1）辅助核验：办事人员提交全流程业务申请后，辅助核验申请材料与线上申报信息的一致性、真实性、完整性，包括材料原件与复印件是否相符、签字盖章是否齐全等。</w:t>
      </w:r>
    </w:p>
    <w:p w14:paraId="3AC17A1E">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错漏处理：对于材料不齐全、信息不准确或不符合法定形式的，一次性书面告知办事人员需补充的材料、修改方向及注意事项，引导其完善后重新提交；对疑难问题需及时与采购单位沟通确认，确保答复准确。</w:t>
      </w:r>
    </w:p>
    <w:p w14:paraId="1EFB86F9">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（3）辅助登记：对核验通过的材料进行登记备案，同步更新业务办理进度，确保后续环节可追溯。</w:t>
      </w:r>
    </w:p>
    <w:p w14:paraId="5345876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4.综合辅助与整理服务</w:t>
      </w:r>
    </w:p>
    <w:p w14:paraId="2E873FFA">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（1）收件登记：按业务类型分类接收办事人员提交的申请材料，核对材料与取号业务的一致性，做好收件登记，向办事人员出具收件凭证。</w:t>
      </w:r>
    </w:p>
    <w:p w14:paraId="09C0E393">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（2）材料初查：严格按照采购单位制定的标准，对材料的完整性进行整理，不遗漏关键材料，不违规接收不符合要求的申请，确保准确性。</w:t>
      </w:r>
    </w:p>
    <w:p w14:paraId="21661AC6">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（3）信息整理：在规定时限内对业务系统录入的信息准确性、完整性进行整理，确保录入数据与申请材料一致，无错录、漏录、多录情况。</w:t>
      </w:r>
    </w:p>
    <w:p w14:paraId="549B2AD0">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（4）证书发放：按规定流程核对办事人员身份信息，准确发放相关证书、批复文件等，做好发放登记，确保证书发放可追溯。</w:t>
      </w:r>
    </w:p>
    <w:p w14:paraId="09CB19BC">
      <w:pPr>
        <w:spacing w:line="460" w:lineRule="exact"/>
        <w:ind w:firstLine="560" w:firstLineChars="200"/>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（5）材料整理：按照相关规定及采购单位的要求，对已办结的申请材料等进行分类和整理，确保材料完整、规范、有序。</w:t>
      </w:r>
    </w:p>
    <w:p w14:paraId="438B68BB">
      <w:pPr>
        <w:keepNext w:val="0"/>
        <w:keepLines w:val="0"/>
        <w:pageBreakBefore w:val="0"/>
        <w:widowControl w:val="0"/>
        <w:kinsoku/>
        <w:wordWrap/>
        <w:overflowPunct/>
        <w:topLinePunct w:val="0"/>
        <w:autoSpaceDE/>
        <w:autoSpaceDN/>
        <w:bidi w:val="0"/>
        <w:adjustRightInd/>
        <w:snapToGrid/>
        <w:spacing w:line="460" w:lineRule="exact"/>
        <w:ind w:firstLine="0" w:firstLineChars="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5.其他工作</w:t>
      </w:r>
    </w:p>
    <w:p w14:paraId="6E9C8516">
      <w:pPr>
        <w:keepNext w:val="0"/>
        <w:keepLines w:val="0"/>
        <w:pageBreakBefore w:val="0"/>
        <w:widowControl w:val="0"/>
        <w:kinsoku/>
        <w:wordWrap/>
        <w:overflowPunct/>
        <w:topLinePunct w:val="0"/>
        <w:autoSpaceDE/>
        <w:autoSpaceDN/>
        <w:bidi w:val="0"/>
        <w:adjustRightInd/>
        <w:snapToGrid/>
        <w:spacing w:line="460" w:lineRule="exact"/>
        <w:ind w:firstLine="840" w:firstLineChars="300"/>
        <w:textAlignment w:val="auto"/>
        <w:rPr>
          <w:rFonts w:hint="default"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完成采购单位交办的其他项目相关工作。</w:t>
      </w:r>
    </w:p>
    <w:p w14:paraId="36480AB0">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（二）具体服务要求</w:t>
      </w:r>
    </w:p>
    <w:p w14:paraId="7827506A">
      <w:pPr>
        <w:spacing w:line="460" w:lineRule="exact"/>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1.管理制度与保障要求</w:t>
      </w:r>
    </w:p>
    <w:p w14:paraId="590CC21C">
      <w:pPr>
        <w:spacing w:line="46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（1）健全内部管理制度：建立完善的服务标准体系、行为守则、培训管理制度、质量监督制度、应急预案、投诉处理机制等。</w:t>
      </w:r>
    </w:p>
    <w:p w14:paraId="76CC2044">
      <w:pPr>
        <w:spacing w:line="46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（2）专项培训管理：制定系统的培训计划，对服务人员开展岗前培训和在岗轮训，培训合格后方可上岗；确保服务人员熟练掌握各项业务流程、材料标准、系统操作及沟通技巧。</w:t>
      </w:r>
    </w:p>
    <w:p w14:paraId="0467C2D5">
      <w:pPr>
        <w:spacing w:line="46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（3）质量监督与考核：每日记录服务情况，每周开展服务质量复盘，每月形成质量报告；配合采购单位开展绩效考核，按要求提供服务数据、台账数据。</w:t>
      </w:r>
    </w:p>
    <w:p w14:paraId="2FE0EF0D">
      <w:pPr>
        <w:spacing w:line="460" w:lineRule="exact"/>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2.环境与秩序管理要求</w:t>
      </w:r>
    </w:p>
    <w:p w14:paraId="0CFE4B50">
      <w:pPr>
        <w:spacing w:line="46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环境维护：负责服务区域（咨询区、等候区、填表区、自助服务区、窗口区）的日常清洁维护，保持地面、桌面、设备表面干净整洁，无杂物堆积；定期检查服务设施（自助终端、打印机、复印机等）运行状态，发现故障及时报修并协助处理。</w:t>
      </w:r>
    </w:p>
    <w:p w14:paraId="5C6E7895">
      <w:pPr>
        <w:spacing w:line="46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（2）秩序管理：维护办事大厅现场秩序，引导办事人员有序排队、文明等候，及时劝阻大声喧哗、插队等不文明行为；在高峰期合理疏导人流，避免出现拥堵情况，确保服务环境有序可控。.</w:t>
      </w:r>
    </w:p>
    <w:p w14:paraId="5D09804A">
      <w:pPr>
        <w:spacing w:line="46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（3）规范服务：统一服务用语和行为举止，杜绝服务忌语，严禁与办事人员发生争执。服务区域出现异动，须及时处理和报告。</w:t>
      </w:r>
    </w:p>
    <w:p w14:paraId="52D9A1E7">
      <w:pPr>
        <w:spacing w:line="460" w:lineRule="exact"/>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3.合规与保密要求</w:t>
      </w:r>
    </w:p>
    <w:p w14:paraId="3974A919">
      <w:pPr>
        <w:spacing w:line="46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（1）严格遵守国家法律法规、政务服务相关政策及采购单位的各项规章制度，服从采购单位的日常管理、工作调度及业务指导，不得擅自增减服务内容或改变服务标准。</w:t>
      </w:r>
    </w:p>
    <w:p w14:paraId="017D6549">
      <w:pPr>
        <w:spacing w:line="46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对服务过程中接触的业务数据、办事人员个人信息及采购单位工作机密严格保密，不得泄露、篡改、出售或非法提供给第三方；配备必要的保密设施，规范数据存储、传输流程，定期开展保密培训及自查，防范数据安全风险；若发生泄密事件，需第一时间向采购单位报告，并承担相应责任。</w:t>
      </w:r>
    </w:p>
    <w:p w14:paraId="54C079A4">
      <w:pPr>
        <w:spacing w:line="460" w:lineRule="exact"/>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（三）服务人员要求</w:t>
      </w:r>
    </w:p>
    <w:p w14:paraId="09A8828C">
      <w:pPr>
        <w:spacing w:line="460" w:lineRule="exact"/>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lang w:val="en-US" w:eastAsia="zh-CN"/>
        </w:rPr>
        <w:t>1.为保证项目的顺利进行，中标单位需组建不少于50人的服务团队开展本项目，其中包含一名项目负责人。中标单位需合理安排工作，人员分工明确，责任到人，同时还应互相合作，严格按照各项规章制度、工作流程开展工作。综合考虑服务事项、工作内容与业务量等因素，中标单位委派的服务人员数量需满足本项目服务工作所需，采购单位有权根</w:t>
      </w:r>
      <w:r>
        <w:rPr>
          <w:rFonts w:hint="eastAsia" w:ascii="仿宋_GB2312" w:hAnsi="仿宋_GB2312" w:eastAsia="仿宋_GB2312" w:cs="仿宋_GB2312"/>
          <w:sz w:val="28"/>
          <w:szCs w:val="28"/>
          <w:highlight w:val="none"/>
          <w:lang w:val="en-US" w:eastAsia="zh-CN"/>
        </w:rPr>
        <w:t>据项目实际需要要求人员增派或调整，中标单位需无条件配合。中标单位不得随意调整服务团队人员，调整人员须先取得中标单位同意。</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1452"/>
        <w:gridCol w:w="2010"/>
        <w:gridCol w:w="4110"/>
      </w:tblGrid>
      <w:tr w14:paraId="35302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91" w:type="dxa"/>
            <w:shd w:val="clear" w:color="auto" w:fill="auto"/>
            <w:noWrap w:val="0"/>
            <w:vAlign w:val="center"/>
          </w:tcPr>
          <w:p w14:paraId="255571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序号</w:t>
            </w:r>
          </w:p>
        </w:tc>
        <w:tc>
          <w:tcPr>
            <w:tcW w:w="1452" w:type="dxa"/>
            <w:shd w:val="clear" w:color="auto" w:fill="FFFFFF"/>
            <w:noWrap w:val="0"/>
            <w:vAlign w:val="center"/>
          </w:tcPr>
          <w:p w14:paraId="0B92182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工作类型</w:t>
            </w:r>
          </w:p>
        </w:tc>
        <w:tc>
          <w:tcPr>
            <w:tcW w:w="2010" w:type="dxa"/>
            <w:shd w:val="clear" w:color="auto" w:fill="FFFFFF"/>
            <w:noWrap w:val="0"/>
            <w:vAlign w:val="center"/>
          </w:tcPr>
          <w:p w14:paraId="7369F30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工作事项</w:t>
            </w:r>
          </w:p>
        </w:tc>
        <w:tc>
          <w:tcPr>
            <w:tcW w:w="4110" w:type="dxa"/>
            <w:shd w:val="clear" w:color="auto" w:fill="FFFFFF"/>
            <w:noWrap w:val="0"/>
            <w:vAlign w:val="center"/>
          </w:tcPr>
          <w:p w14:paraId="0A81D5D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人员素质要求</w:t>
            </w:r>
          </w:p>
        </w:tc>
      </w:tr>
      <w:tr w14:paraId="43CE2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691" w:type="dxa"/>
            <w:shd w:val="clear" w:color="auto" w:fill="auto"/>
            <w:noWrap w:val="0"/>
            <w:vAlign w:val="center"/>
          </w:tcPr>
          <w:p w14:paraId="2DEC2A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w:t>
            </w:r>
          </w:p>
        </w:tc>
        <w:tc>
          <w:tcPr>
            <w:tcW w:w="1452" w:type="dxa"/>
            <w:shd w:val="clear" w:color="auto" w:fill="FFFFFF"/>
            <w:noWrap w:val="0"/>
            <w:vAlign w:val="center"/>
          </w:tcPr>
          <w:p w14:paraId="4B672E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项目管理工作</w:t>
            </w:r>
          </w:p>
        </w:tc>
        <w:tc>
          <w:tcPr>
            <w:tcW w:w="2010" w:type="dxa"/>
            <w:shd w:val="clear" w:color="auto" w:fill="FFFFFF"/>
            <w:noWrap w:val="0"/>
            <w:vAlign w:val="center"/>
          </w:tcPr>
          <w:p w14:paraId="1E2F2E8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项目统一对接，负责运营管理、服务监督、沟通协调、现场投诉处理等。</w:t>
            </w:r>
          </w:p>
        </w:tc>
        <w:tc>
          <w:tcPr>
            <w:tcW w:w="4110" w:type="dxa"/>
            <w:shd w:val="clear" w:color="auto" w:fill="FFFFFF"/>
            <w:noWrap w:val="0"/>
            <w:vAlign w:val="center"/>
          </w:tcPr>
          <w:p w14:paraId="6558773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1.本科及以上学历，男女不限,具有相关工作经验者，可放宽要求；</w:t>
            </w:r>
          </w:p>
          <w:p w14:paraId="3CDECB9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2.身体健康，形象气质佳，普通话标准；</w:t>
            </w:r>
          </w:p>
          <w:p w14:paraId="1607CAB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3.具有较强的口头和书面表达能力，能独立完成各类报表、报告和相关演说，熟练使用电脑办公软件，包括但不限于Word、Excel、PowerPoint等；</w:t>
            </w:r>
          </w:p>
          <w:p w14:paraId="29F13DF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4.具有良好的分析判断能力、较强的组织协调能力、较高的保密应急意识，能独立完成业务沟通和办理；</w:t>
            </w:r>
          </w:p>
          <w:p w14:paraId="53702FA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5.具有2年或以上行政管理类工作经验，要求熟悉政务大厅的相关业务，同时熟悉国家相关法律法规；</w:t>
            </w:r>
          </w:p>
          <w:p w14:paraId="0C031EF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6.无违法犯罪记录。</w:t>
            </w:r>
          </w:p>
        </w:tc>
      </w:tr>
      <w:tr w14:paraId="61ADB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691" w:type="dxa"/>
            <w:shd w:val="clear" w:color="auto" w:fill="auto"/>
            <w:noWrap w:val="0"/>
            <w:vAlign w:val="center"/>
          </w:tcPr>
          <w:p w14:paraId="74EEE50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w:t>
            </w:r>
          </w:p>
        </w:tc>
        <w:tc>
          <w:tcPr>
            <w:tcW w:w="1452" w:type="dxa"/>
            <w:shd w:val="clear" w:color="auto" w:fill="FFFFFF"/>
            <w:noWrap w:val="0"/>
            <w:vAlign w:val="center"/>
          </w:tcPr>
          <w:p w14:paraId="54ADE6D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内勤文秘工作</w:t>
            </w:r>
          </w:p>
        </w:tc>
        <w:tc>
          <w:tcPr>
            <w:tcW w:w="2010" w:type="dxa"/>
            <w:shd w:val="clear" w:color="auto" w:fill="FFFFFF"/>
            <w:noWrap w:val="0"/>
            <w:vAlign w:val="center"/>
          </w:tcPr>
          <w:p w14:paraId="6856A63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负责人事管理、文秘工作、业务分派、材料整理、后勤保障等。</w:t>
            </w:r>
          </w:p>
        </w:tc>
        <w:tc>
          <w:tcPr>
            <w:tcW w:w="4110" w:type="dxa"/>
            <w:shd w:val="clear" w:color="auto" w:fill="FFFFFF"/>
            <w:noWrap w:val="0"/>
            <w:vAlign w:val="center"/>
          </w:tcPr>
          <w:p w14:paraId="7CBA614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1.本科及以上学历，男女不限,具有相关工作经验者，可放宽要求；</w:t>
            </w:r>
          </w:p>
          <w:p w14:paraId="4DC982C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2.身体健康，形象气质佳，谈吐清晰；</w:t>
            </w:r>
          </w:p>
          <w:p w14:paraId="501140A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3.具有较强的公文写作、处理能力，能独立完成各类报表、报告等，熟练使用电脑办公软件，包括但不限于Word、Excel、PowerPoint等；</w:t>
            </w:r>
          </w:p>
          <w:p w14:paraId="0D20EBE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4.具有良好的分析判断能力、较强的组织协调能力、较高的保密应急意识，能独立完成业务沟通和办理；</w:t>
            </w:r>
          </w:p>
          <w:p w14:paraId="2F427D9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5.具有2年或以上行政文秘类工作经验，有机关事业单位工作经验者优先；</w:t>
            </w:r>
          </w:p>
          <w:p w14:paraId="0AEF718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6.无违法犯罪记录。</w:t>
            </w:r>
          </w:p>
        </w:tc>
      </w:tr>
      <w:tr w14:paraId="46706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691" w:type="dxa"/>
            <w:shd w:val="clear" w:color="auto" w:fill="auto"/>
            <w:noWrap w:val="0"/>
            <w:vAlign w:val="center"/>
          </w:tcPr>
          <w:p w14:paraId="19D5CB5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w:t>
            </w:r>
          </w:p>
        </w:tc>
        <w:tc>
          <w:tcPr>
            <w:tcW w:w="1452" w:type="dxa"/>
            <w:shd w:val="clear" w:color="auto" w:fill="FFFFFF"/>
            <w:noWrap w:val="0"/>
            <w:vAlign w:val="center"/>
          </w:tcPr>
          <w:p w14:paraId="3A3FC0E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咨询发号工作</w:t>
            </w:r>
          </w:p>
        </w:tc>
        <w:tc>
          <w:tcPr>
            <w:tcW w:w="2010" w:type="dxa"/>
            <w:shd w:val="clear" w:color="auto" w:fill="FFFFFF"/>
            <w:noWrap w:val="0"/>
            <w:vAlign w:val="center"/>
          </w:tcPr>
          <w:p w14:paraId="6C86F2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负责现场咨询、引导、发号、发放表格等。</w:t>
            </w:r>
          </w:p>
        </w:tc>
        <w:tc>
          <w:tcPr>
            <w:tcW w:w="4110" w:type="dxa"/>
            <w:vMerge w:val="restart"/>
            <w:shd w:val="clear" w:color="auto" w:fill="FFFFFF"/>
            <w:noWrap w:val="0"/>
            <w:vAlign w:val="center"/>
          </w:tcPr>
          <w:p w14:paraId="1D6CBA7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1.大专及以上学历，男女不限；</w:t>
            </w:r>
          </w:p>
          <w:p w14:paraId="049DBB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2.身体健康，形象气质佳，普通话标准；</w:t>
            </w:r>
          </w:p>
          <w:p w14:paraId="389DB1F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3.具有较强的口头表达能力，熟练使用电脑办公软件，包括但不限于Word、Excel、PowerPoint等；</w:t>
            </w:r>
          </w:p>
          <w:p w14:paraId="37030D3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4.服务态度佳、沟通能力强，具备高度责任心、较强的应变能力和协作能力、较高的保密意识和应急意识；</w:t>
            </w:r>
          </w:p>
          <w:p w14:paraId="7A2AE2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5.熟悉相关岗位业务或者有政务大厅工作经验者优先，符合该条件的可适当降低学历要求；</w:t>
            </w:r>
          </w:p>
          <w:p w14:paraId="2BC157D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6.无违法犯罪记录。</w:t>
            </w:r>
          </w:p>
        </w:tc>
      </w:tr>
      <w:tr w14:paraId="59F2A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jc w:val="center"/>
        </w:trPr>
        <w:tc>
          <w:tcPr>
            <w:tcW w:w="691" w:type="dxa"/>
            <w:shd w:val="clear" w:color="auto" w:fill="auto"/>
            <w:noWrap w:val="0"/>
            <w:vAlign w:val="center"/>
          </w:tcPr>
          <w:p w14:paraId="14D06DA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w:t>
            </w:r>
          </w:p>
        </w:tc>
        <w:tc>
          <w:tcPr>
            <w:tcW w:w="1452" w:type="dxa"/>
            <w:shd w:val="clear" w:color="auto" w:fill="FFFFFF"/>
            <w:noWrap w:val="0"/>
            <w:vAlign w:val="center"/>
          </w:tcPr>
          <w:p w14:paraId="0DAFA09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导办申报工作</w:t>
            </w:r>
          </w:p>
        </w:tc>
        <w:tc>
          <w:tcPr>
            <w:tcW w:w="2010" w:type="dxa"/>
            <w:shd w:val="clear" w:color="auto" w:fill="FFFFFF"/>
            <w:noWrap w:val="0"/>
            <w:vAlign w:val="center"/>
          </w:tcPr>
          <w:p w14:paraId="0CA2847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负责全流程自助服务区、填表区的辅助工作，提供数据录入、表格填写等指引。</w:t>
            </w:r>
          </w:p>
        </w:tc>
        <w:tc>
          <w:tcPr>
            <w:tcW w:w="4110" w:type="dxa"/>
            <w:vMerge w:val="continue"/>
            <w:shd w:val="clear" w:color="auto" w:fill="FFFFFF"/>
            <w:noWrap w:val="0"/>
            <w:vAlign w:val="center"/>
          </w:tcPr>
          <w:p w14:paraId="659C04F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仿宋_GB2312" w:hAnsi="仿宋_GB2312" w:eastAsia="仿宋_GB2312" w:cs="仿宋_GB2312"/>
                <w:sz w:val="24"/>
                <w:szCs w:val="24"/>
                <w:lang w:val="en-US" w:eastAsia="zh-CN"/>
              </w:rPr>
            </w:pPr>
          </w:p>
        </w:tc>
      </w:tr>
      <w:tr w14:paraId="50A8A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jc w:val="center"/>
        </w:trPr>
        <w:tc>
          <w:tcPr>
            <w:tcW w:w="691" w:type="dxa"/>
            <w:shd w:val="clear" w:color="auto" w:fill="auto"/>
            <w:noWrap w:val="0"/>
            <w:vAlign w:val="center"/>
          </w:tcPr>
          <w:p w14:paraId="07E49C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w:t>
            </w:r>
          </w:p>
        </w:tc>
        <w:tc>
          <w:tcPr>
            <w:tcW w:w="1452" w:type="dxa"/>
            <w:shd w:val="clear" w:color="auto" w:fill="FFFFFF"/>
            <w:noWrap w:val="0"/>
            <w:vAlign w:val="center"/>
          </w:tcPr>
          <w:p w14:paraId="1D26D18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全流程辅助工作</w:t>
            </w:r>
          </w:p>
        </w:tc>
        <w:tc>
          <w:tcPr>
            <w:tcW w:w="2010" w:type="dxa"/>
            <w:shd w:val="clear" w:color="auto" w:fill="FFFFFF"/>
            <w:noWrap w:val="0"/>
            <w:vAlign w:val="center"/>
          </w:tcPr>
          <w:p w14:paraId="18A0D4F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核审资料是否真实有效，引导资料有错漏的进行完善后再次全流程提交。</w:t>
            </w:r>
          </w:p>
        </w:tc>
        <w:tc>
          <w:tcPr>
            <w:tcW w:w="4110" w:type="dxa"/>
            <w:vMerge w:val="continue"/>
            <w:shd w:val="clear" w:color="auto" w:fill="FFFFFF"/>
            <w:noWrap w:val="0"/>
            <w:vAlign w:val="center"/>
          </w:tcPr>
          <w:p w14:paraId="7342659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仿宋_GB2312" w:hAnsi="仿宋_GB2312" w:eastAsia="仿宋_GB2312" w:cs="仿宋_GB2312"/>
                <w:sz w:val="24"/>
                <w:szCs w:val="24"/>
                <w:lang w:val="en-US" w:eastAsia="zh-CN"/>
              </w:rPr>
            </w:pPr>
          </w:p>
        </w:tc>
      </w:tr>
      <w:tr w14:paraId="3F20E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691" w:type="dxa"/>
            <w:shd w:val="clear" w:color="auto" w:fill="auto"/>
            <w:noWrap w:val="0"/>
            <w:vAlign w:val="center"/>
          </w:tcPr>
          <w:p w14:paraId="1EE9E30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w:t>
            </w:r>
          </w:p>
        </w:tc>
        <w:tc>
          <w:tcPr>
            <w:tcW w:w="1452" w:type="dxa"/>
            <w:shd w:val="clear" w:color="auto" w:fill="FFFFFF"/>
            <w:noWrap w:val="0"/>
            <w:vAlign w:val="center"/>
          </w:tcPr>
          <w:p w14:paraId="02EF8E8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辅助初查工作</w:t>
            </w:r>
          </w:p>
        </w:tc>
        <w:tc>
          <w:tcPr>
            <w:tcW w:w="2010" w:type="dxa"/>
            <w:shd w:val="clear" w:color="auto" w:fill="FFFFFF"/>
            <w:noWrap w:val="0"/>
            <w:vAlign w:val="center"/>
          </w:tcPr>
          <w:p w14:paraId="2C8F679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负责窗口业务受理、初审、勘误、信息录入等。</w:t>
            </w:r>
          </w:p>
        </w:tc>
        <w:tc>
          <w:tcPr>
            <w:tcW w:w="4110" w:type="dxa"/>
            <w:vMerge w:val="continue"/>
            <w:shd w:val="clear" w:color="auto" w:fill="FFFFFF"/>
            <w:noWrap w:val="0"/>
            <w:vAlign w:val="center"/>
          </w:tcPr>
          <w:p w14:paraId="67293D2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仿宋_GB2312" w:hAnsi="仿宋_GB2312" w:eastAsia="仿宋_GB2312" w:cs="仿宋_GB2312"/>
                <w:sz w:val="24"/>
                <w:szCs w:val="24"/>
                <w:lang w:val="en-US" w:eastAsia="zh-CN"/>
              </w:rPr>
            </w:pPr>
          </w:p>
        </w:tc>
      </w:tr>
      <w:tr w14:paraId="5B828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691" w:type="dxa"/>
            <w:shd w:val="clear" w:color="auto" w:fill="auto"/>
            <w:noWrap w:val="0"/>
            <w:vAlign w:val="center"/>
          </w:tcPr>
          <w:p w14:paraId="66EFA2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7</w:t>
            </w:r>
          </w:p>
        </w:tc>
        <w:tc>
          <w:tcPr>
            <w:tcW w:w="1452" w:type="dxa"/>
            <w:shd w:val="clear" w:color="auto" w:fill="FFFFFF"/>
            <w:noWrap w:val="0"/>
            <w:vAlign w:val="center"/>
          </w:tcPr>
          <w:p w14:paraId="3C645C6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发证工作</w:t>
            </w:r>
          </w:p>
        </w:tc>
        <w:tc>
          <w:tcPr>
            <w:tcW w:w="2010" w:type="dxa"/>
            <w:shd w:val="clear" w:color="auto" w:fill="FFFFFF"/>
            <w:noWrap w:val="0"/>
            <w:vAlign w:val="center"/>
          </w:tcPr>
          <w:p w14:paraId="4E9F26E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负责打印、发放证照等。</w:t>
            </w:r>
          </w:p>
        </w:tc>
        <w:tc>
          <w:tcPr>
            <w:tcW w:w="4110" w:type="dxa"/>
            <w:vMerge w:val="continue"/>
            <w:shd w:val="clear" w:color="auto" w:fill="FFFFFF"/>
            <w:noWrap w:val="0"/>
            <w:vAlign w:val="center"/>
          </w:tcPr>
          <w:p w14:paraId="6FC8B05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仿宋_GB2312" w:hAnsi="仿宋_GB2312" w:eastAsia="仿宋_GB2312" w:cs="仿宋_GB2312"/>
                <w:sz w:val="24"/>
                <w:szCs w:val="24"/>
                <w:lang w:val="en-US" w:eastAsia="zh-CN"/>
              </w:rPr>
            </w:pPr>
          </w:p>
        </w:tc>
      </w:tr>
      <w:tr w14:paraId="27714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691" w:type="dxa"/>
            <w:shd w:val="clear" w:color="auto" w:fill="auto"/>
            <w:noWrap w:val="0"/>
            <w:vAlign w:val="center"/>
          </w:tcPr>
          <w:p w14:paraId="1DB32A3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8</w:t>
            </w:r>
          </w:p>
        </w:tc>
        <w:tc>
          <w:tcPr>
            <w:tcW w:w="1452" w:type="dxa"/>
            <w:shd w:val="clear" w:color="auto" w:fill="FFFFFF"/>
            <w:noWrap w:val="0"/>
            <w:vAlign w:val="center"/>
          </w:tcPr>
          <w:p w14:paraId="025266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电话接线工作</w:t>
            </w:r>
          </w:p>
        </w:tc>
        <w:tc>
          <w:tcPr>
            <w:tcW w:w="2010" w:type="dxa"/>
            <w:shd w:val="clear" w:color="auto" w:fill="FFFFFF"/>
            <w:noWrap w:val="0"/>
            <w:vAlign w:val="center"/>
          </w:tcPr>
          <w:p w14:paraId="3FD22FA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负责接听咨询电话，解答业务咨询，并按要求做好记录、回复等。</w:t>
            </w:r>
          </w:p>
        </w:tc>
        <w:tc>
          <w:tcPr>
            <w:tcW w:w="4110" w:type="dxa"/>
            <w:vMerge w:val="continue"/>
            <w:shd w:val="clear" w:color="auto" w:fill="FFFFFF"/>
            <w:noWrap w:val="0"/>
            <w:vAlign w:val="center"/>
          </w:tcPr>
          <w:p w14:paraId="7CB974D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仿宋_GB2312" w:hAnsi="仿宋_GB2312" w:eastAsia="仿宋_GB2312" w:cs="仿宋_GB2312"/>
                <w:sz w:val="24"/>
                <w:szCs w:val="24"/>
                <w:lang w:val="en-US" w:eastAsia="zh-CN"/>
              </w:rPr>
            </w:pPr>
          </w:p>
        </w:tc>
      </w:tr>
    </w:tbl>
    <w:p w14:paraId="75A3C7EA">
      <w:pPr>
        <w:spacing w:line="460" w:lineRule="exact"/>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2.人员管理要求</w:t>
      </w:r>
    </w:p>
    <w:p w14:paraId="6331ABC9">
      <w:pPr>
        <w:spacing w:line="46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（1）中标单位</w:t>
      </w:r>
      <w:r>
        <w:rPr>
          <w:rFonts w:hint="eastAsia" w:ascii="仿宋_GB2312" w:hAnsi="仿宋_GB2312" w:eastAsia="仿宋_GB2312" w:cs="仿宋_GB2312"/>
          <w:i w:val="0"/>
          <w:iCs w:val="0"/>
          <w:caps w:val="0"/>
          <w:spacing w:val="0"/>
          <w:sz w:val="28"/>
          <w:szCs w:val="28"/>
          <w:shd w:val="clear" w:color="auto" w:fill="auto"/>
        </w:rPr>
        <w:t>应严格按照本招标文件要求及采购</w:t>
      </w:r>
      <w:r>
        <w:rPr>
          <w:rFonts w:hint="eastAsia" w:ascii="仿宋_GB2312" w:hAnsi="仿宋_GB2312" w:eastAsia="仿宋_GB2312" w:cs="仿宋_GB2312"/>
          <w:i w:val="0"/>
          <w:iCs w:val="0"/>
          <w:caps w:val="0"/>
          <w:spacing w:val="0"/>
          <w:sz w:val="28"/>
          <w:szCs w:val="28"/>
          <w:shd w:val="clear" w:color="auto" w:fill="auto"/>
          <w:lang w:eastAsia="zh-CN"/>
        </w:rPr>
        <w:t>单位</w:t>
      </w:r>
      <w:r>
        <w:rPr>
          <w:rFonts w:hint="eastAsia" w:ascii="仿宋_GB2312" w:hAnsi="仿宋_GB2312" w:eastAsia="仿宋_GB2312" w:cs="仿宋_GB2312"/>
          <w:i w:val="0"/>
          <w:iCs w:val="0"/>
          <w:caps w:val="0"/>
          <w:spacing w:val="0"/>
          <w:sz w:val="28"/>
          <w:szCs w:val="28"/>
          <w:shd w:val="clear" w:color="auto" w:fill="auto"/>
        </w:rPr>
        <w:t>人员管理规定开展工作，确保服务人员廉政纪律及岗位胜任要求，妥善落实</w:t>
      </w:r>
      <w:r>
        <w:rPr>
          <w:rFonts w:hint="eastAsia" w:ascii="仿宋_GB2312" w:hAnsi="仿宋_GB2312" w:eastAsia="仿宋_GB2312" w:cs="仿宋_GB2312"/>
          <w:i w:val="0"/>
          <w:iCs w:val="0"/>
          <w:caps w:val="0"/>
          <w:spacing w:val="0"/>
          <w:sz w:val="28"/>
          <w:szCs w:val="28"/>
          <w:shd w:val="clear" w:color="auto" w:fill="auto"/>
          <w:lang w:eastAsia="zh-CN"/>
        </w:rPr>
        <w:t>项目服务及</w:t>
      </w:r>
      <w:r>
        <w:rPr>
          <w:rFonts w:hint="eastAsia" w:ascii="仿宋_GB2312" w:hAnsi="仿宋_GB2312" w:eastAsia="仿宋_GB2312" w:cs="仿宋_GB2312"/>
          <w:i w:val="0"/>
          <w:iCs w:val="0"/>
          <w:caps w:val="0"/>
          <w:spacing w:val="0"/>
          <w:sz w:val="28"/>
          <w:szCs w:val="28"/>
          <w:shd w:val="clear" w:color="auto" w:fill="auto"/>
        </w:rPr>
        <w:t>人员更换等管理要求。必要时需应用与服务项目运营管理相关的知识产权成果，通过电子服务类运营管理工具规范</w:t>
      </w:r>
      <w:r>
        <w:rPr>
          <w:rFonts w:hint="eastAsia" w:ascii="仿宋_GB2312" w:hAnsi="仿宋_GB2312" w:eastAsia="仿宋_GB2312" w:cs="仿宋_GB2312"/>
          <w:i w:val="0"/>
          <w:iCs w:val="0"/>
          <w:caps w:val="0"/>
          <w:spacing w:val="0"/>
          <w:sz w:val="28"/>
          <w:szCs w:val="28"/>
          <w:shd w:val="clear" w:color="auto" w:fill="auto"/>
          <w:lang w:eastAsia="zh-CN"/>
        </w:rPr>
        <w:t>服务人员管理</w:t>
      </w:r>
      <w:r>
        <w:rPr>
          <w:rFonts w:hint="eastAsia" w:ascii="仿宋_GB2312" w:hAnsi="仿宋_GB2312" w:eastAsia="仿宋_GB2312" w:cs="仿宋_GB2312"/>
          <w:i w:val="0"/>
          <w:iCs w:val="0"/>
          <w:caps w:val="0"/>
          <w:spacing w:val="0"/>
          <w:sz w:val="28"/>
          <w:szCs w:val="28"/>
          <w:shd w:val="clear" w:color="auto" w:fill="auto"/>
        </w:rPr>
        <w:t>，提升人员管理的合规性、精准度与效率，保障服务团队稳定合规运行</w:t>
      </w:r>
      <w:r>
        <w:rPr>
          <w:rFonts w:hint="eastAsia" w:ascii="仿宋_GB2312" w:hAnsi="仿宋_GB2312" w:eastAsia="仿宋_GB2312" w:cs="仿宋_GB2312"/>
          <w:sz w:val="28"/>
          <w:szCs w:val="28"/>
          <w:lang w:val="en-US" w:eastAsia="zh-CN"/>
        </w:rPr>
        <w:t>。</w:t>
      </w:r>
    </w:p>
    <w:p w14:paraId="691AB4D0">
      <w:pPr>
        <w:spacing w:line="46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服务人员不具备相应资质或无法胜任相关工作、不符合合同约定或采购单位要求的，中标单位应自采购单位提出更换之日起15日内更换符合采购单位要求的人员，并做好工作交接。拒不按要求更换的，采购单位有权要求解除合同，并有权要求中标单位按合同总金额的3%向采购单位支付违约金。</w:t>
      </w:r>
    </w:p>
    <w:p w14:paraId="09B04C53">
      <w:pPr>
        <w:pStyle w:val="2"/>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_GB2312" w:hAnsi="仿宋_GB2312" w:eastAsia="仿宋_GB2312" w:cs="仿宋_GB2312"/>
          <w:b/>
          <w:bCs/>
          <w:sz w:val="28"/>
          <w:szCs w:val="28"/>
          <w:lang w:val="en-US" w:eastAsia="zh-CN"/>
        </w:rPr>
      </w:pPr>
    </w:p>
    <w:p w14:paraId="1DA21AC9">
      <w:pPr>
        <w:pStyle w:val="2"/>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（2）商务要求</w:t>
      </w:r>
    </w:p>
    <w:p w14:paraId="36FDE0BC">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lang w:val="en-US" w:eastAsia="zh-CN"/>
        </w:rPr>
        <w:t>①服务期限</w:t>
      </w:r>
      <w:r>
        <w:rPr>
          <w:rFonts w:hint="eastAsia" w:ascii="仿宋_GB2312" w:hAnsi="仿宋_GB2312" w:eastAsia="仿宋_GB2312" w:cs="仿宋_GB2312"/>
          <w:color w:val="auto"/>
          <w:sz w:val="28"/>
          <w:szCs w:val="28"/>
          <w:lang w:val="en-US" w:eastAsia="zh-CN"/>
        </w:rPr>
        <w:t>：</w:t>
      </w:r>
      <w:r>
        <w:rPr>
          <w:rFonts w:hint="eastAsia" w:ascii="仿宋_GB2312" w:hAnsi="仿宋_GB2312" w:eastAsia="仿宋_GB2312" w:cs="仿宋_GB2312"/>
          <w:color w:val="auto"/>
          <w:sz w:val="28"/>
          <w:szCs w:val="28"/>
          <w:highlight w:val="none"/>
          <w:u w:val="none"/>
          <w:lang w:eastAsia="zh-CN"/>
        </w:rPr>
        <w:t>合同签订之日起至202</w:t>
      </w:r>
      <w:r>
        <w:rPr>
          <w:rFonts w:hint="default" w:ascii="仿宋_GB2312" w:hAnsi="仿宋_GB2312" w:eastAsia="仿宋_GB2312" w:cs="仿宋_GB2312"/>
          <w:color w:val="auto"/>
          <w:sz w:val="28"/>
          <w:szCs w:val="28"/>
          <w:highlight w:val="none"/>
          <w:u w:val="none"/>
          <w:lang w:val="en" w:eastAsia="zh-CN"/>
        </w:rPr>
        <w:t>7</w:t>
      </w:r>
      <w:r>
        <w:rPr>
          <w:rFonts w:hint="eastAsia" w:ascii="仿宋_GB2312" w:hAnsi="仿宋_GB2312" w:eastAsia="仿宋_GB2312" w:cs="仿宋_GB2312"/>
          <w:color w:val="auto"/>
          <w:sz w:val="28"/>
          <w:szCs w:val="28"/>
          <w:highlight w:val="none"/>
          <w:u w:val="none"/>
          <w:lang w:eastAsia="zh-CN"/>
        </w:rPr>
        <w:t>年</w:t>
      </w:r>
      <w:r>
        <w:rPr>
          <w:rFonts w:hint="default" w:ascii="仿宋_GB2312" w:hAnsi="仿宋_GB2312" w:eastAsia="仿宋_GB2312" w:cs="仿宋_GB2312"/>
          <w:color w:val="auto"/>
          <w:sz w:val="28"/>
          <w:szCs w:val="28"/>
          <w:highlight w:val="none"/>
          <w:u w:val="none"/>
          <w:lang w:val="en" w:eastAsia="zh-CN"/>
        </w:rPr>
        <w:t>4</w:t>
      </w:r>
      <w:r>
        <w:rPr>
          <w:rFonts w:hint="eastAsia" w:ascii="仿宋_GB2312" w:hAnsi="仿宋_GB2312" w:eastAsia="仿宋_GB2312" w:cs="仿宋_GB2312"/>
          <w:color w:val="auto"/>
          <w:sz w:val="28"/>
          <w:szCs w:val="28"/>
          <w:highlight w:val="none"/>
          <w:u w:val="none"/>
          <w:lang w:eastAsia="zh-CN"/>
        </w:rPr>
        <w:t>月</w:t>
      </w:r>
      <w:r>
        <w:rPr>
          <w:rFonts w:hint="default" w:ascii="仿宋_GB2312" w:hAnsi="仿宋_GB2312" w:eastAsia="仿宋_GB2312" w:cs="仿宋_GB2312"/>
          <w:color w:val="auto"/>
          <w:sz w:val="28"/>
          <w:szCs w:val="28"/>
          <w:highlight w:val="none"/>
          <w:u w:val="none"/>
          <w:lang w:val="en" w:eastAsia="zh-CN"/>
        </w:rPr>
        <w:t>1</w:t>
      </w:r>
      <w:r>
        <w:rPr>
          <w:rFonts w:hint="eastAsia" w:ascii="仿宋_GB2312" w:hAnsi="仿宋_GB2312" w:eastAsia="仿宋_GB2312" w:cs="仿宋_GB2312"/>
          <w:color w:val="auto"/>
          <w:sz w:val="28"/>
          <w:szCs w:val="28"/>
          <w:highlight w:val="none"/>
          <w:u w:val="none"/>
          <w:lang w:eastAsia="zh-CN"/>
        </w:rPr>
        <w:t>日完成。</w:t>
      </w:r>
      <w:r>
        <w:rPr>
          <w:rFonts w:hint="eastAsia" w:ascii="仿宋_GB2312" w:hAnsi="仿宋_GB2312" w:eastAsia="仿宋_GB2312" w:cs="仿宋_GB2312"/>
          <w:sz w:val="28"/>
          <w:szCs w:val="28"/>
          <w:lang w:val="en-US" w:eastAsia="zh-CN"/>
        </w:rPr>
        <w:t>本项目属于长期服务项目。长期服务合同累积履约期限原则上不超过三十六个月。采购人可视中标供应商履约服务情况，选择是否续签合同。</w:t>
      </w:r>
    </w:p>
    <w:p w14:paraId="122ACF8C">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②付款方式：</w:t>
      </w:r>
    </w:p>
    <w:p w14:paraId="25AA716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分期付款：采购单位在合同签订后，且收到中标单位提供符合国家财税有关规定发票后10个工作日内支付合同总额的</w:t>
      </w:r>
      <w:r>
        <w:rPr>
          <w:rFonts w:hint="eastAsia" w:ascii="仿宋_GB2312" w:hAnsi="仿宋_GB2312" w:eastAsia="仿宋_GB2312" w:cs="仿宋_GB2312"/>
          <w:sz w:val="28"/>
          <w:szCs w:val="28"/>
          <w:u w:val="single"/>
          <w:lang w:val="en-US" w:eastAsia="zh-CN"/>
        </w:rPr>
        <w:t>30</w:t>
      </w:r>
      <w:r>
        <w:rPr>
          <w:rFonts w:hint="eastAsia" w:ascii="仿宋_GB2312" w:hAnsi="仿宋_GB2312" w:eastAsia="仿宋_GB2312" w:cs="仿宋_GB2312"/>
          <w:sz w:val="28"/>
          <w:szCs w:val="28"/>
          <w:lang w:val="en-US" w:eastAsia="zh-CN"/>
        </w:rPr>
        <w:t>%作为首期款。余款按进度验收后支付。</w:t>
      </w:r>
    </w:p>
    <w:p w14:paraId="6A03062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黑体" w:hAnsi="黑体" w:eastAsia="黑体" w:cs="黑体"/>
          <w:sz w:val="32"/>
          <w:szCs w:val="32"/>
          <w:highlight w:val="none"/>
          <w:lang w:val="en-US" w:eastAsia="zh-CN"/>
        </w:rPr>
      </w:pPr>
    </w:p>
    <w:p w14:paraId="78C6F4F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二、供应商资格条件</w:t>
      </w:r>
    </w:p>
    <w:p w14:paraId="7B4735A3">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楷体_GB2312" w:hAnsi="楷体_GB2312" w:eastAsia="楷体_GB2312" w:cs="楷体_GB2312"/>
          <w:b/>
          <w:bCs/>
          <w:sz w:val="28"/>
          <w:szCs w:val="28"/>
          <w:lang w:val="en-US" w:eastAsia="zh-CN"/>
        </w:rPr>
      </w:pPr>
      <w:r>
        <w:rPr>
          <w:rFonts w:hint="eastAsia" w:ascii="楷体_GB2312" w:hAnsi="楷体_GB2312" w:eastAsia="楷体_GB2312" w:cs="楷体_GB2312"/>
          <w:b/>
          <w:bCs/>
          <w:sz w:val="28"/>
          <w:szCs w:val="28"/>
          <w:lang w:val="en-US" w:eastAsia="zh-CN"/>
        </w:rPr>
        <w:t>（一）供应商资格条件</w:t>
      </w:r>
    </w:p>
    <w:p w14:paraId="4FFD0EEA">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textAlignment w:val="auto"/>
        <w:rPr>
          <w:rFonts w:hint="eastAsia" w:ascii="仿宋_GB2312" w:hAnsi="仿宋_GB2312" w:eastAsia="仿宋_GB2312" w:cs="仿宋_GB2312"/>
          <w:b w:val="0"/>
          <w:bCs w:val="0"/>
          <w:color w:val="000000"/>
          <w:sz w:val="28"/>
          <w:szCs w:val="28"/>
          <w:highlight w:val="none"/>
          <w:lang w:eastAsia="zh-CN"/>
        </w:rPr>
      </w:pPr>
      <w:r>
        <w:rPr>
          <w:rFonts w:hint="eastAsia" w:ascii="仿宋_GB2312" w:hAnsi="仿宋_GB2312" w:eastAsia="仿宋_GB2312" w:cs="仿宋_GB2312"/>
          <w:b w:val="0"/>
          <w:bCs w:val="0"/>
          <w:color w:val="000000"/>
          <w:sz w:val="28"/>
          <w:szCs w:val="28"/>
          <w:highlight w:val="none"/>
          <w:lang w:val="en-US" w:eastAsia="zh-CN"/>
        </w:rPr>
        <w:t>1.</w:t>
      </w:r>
      <w:r>
        <w:rPr>
          <w:rFonts w:hint="eastAsia" w:ascii="仿宋_GB2312" w:hAnsi="仿宋_GB2312" w:eastAsia="仿宋_GB2312" w:cs="仿宋_GB2312"/>
          <w:b w:val="0"/>
          <w:bCs w:val="0"/>
          <w:color w:val="000000"/>
          <w:sz w:val="28"/>
          <w:szCs w:val="28"/>
          <w:highlight w:val="none"/>
          <w:lang w:eastAsia="zh-CN"/>
        </w:rPr>
        <w:t>具有独立承担民事责任能力的法人或其他组织（提供营业执照或事业单位法人证书等证明资料复印件或扫描件，原件备查）。如果参与投标的供应商为分公司（或分所）则须提供分公司（或分所）营业执照、其所属总公司（或总所）等具有独立法人资格的组织出具的授权函或承诺书，但只接受直接授权，不接受逐级授权，并同时提供总公司（或总所）营业执照。不接受同一总公司（或总所）授权两家或以上分公司（或分所）同时参与本项目投标，也不接受总公司（或总所）与分公司（或分所）同时参与本项目投标，如出现上述情形，该两家或以上供应商的投标文件均按无效投标处理。个体工商户参与投标的需注明经营者信息。自然人参与投标的应当提供个人身份证明材料。以上证明材料均需提供复印件或扫描件，原件备查。</w:t>
      </w:r>
    </w:p>
    <w:p w14:paraId="40078F83">
      <w:pPr>
        <w:pStyle w:val="8"/>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textAlignment w:val="auto"/>
        <w:rPr>
          <w:rFonts w:hint="eastAsia" w:ascii="仿宋_GB2312" w:hAnsi="仿宋_GB2312" w:eastAsia="仿宋_GB2312" w:cs="仿宋_GB2312"/>
          <w:sz w:val="28"/>
          <w:szCs w:val="28"/>
          <w:highlight w:val="none"/>
          <w:u w:val="none"/>
          <w:lang w:eastAsia="zh-CN"/>
        </w:rPr>
      </w:pPr>
      <w:r>
        <w:rPr>
          <w:rFonts w:hint="eastAsia" w:ascii="仿宋_GB2312" w:hAnsi="仿宋_GB2312" w:eastAsia="仿宋_GB2312" w:cs="仿宋_GB2312"/>
          <w:sz w:val="28"/>
          <w:szCs w:val="28"/>
          <w:highlight w:val="none"/>
          <w:u w:val="none"/>
          <w:lang w:val="en-US" w:eastAsia="zh-CN"/>
        </w:rPr>
        <w:t>2.</w:t>
      </w:r>
      <w:r>
        <w:rPr>
          <w:rFonts w:hint="eastAsia" w:ascii="仿宋_GB2312" w:hAnsi="仿宋_GB2312" w:eastAsia="仿宋_GB2312" w:cs="仿宋_GB2312"/>
          <w:sz w:val="28"/>
          <w:szCs w:val="28"/>
          <w:highlight w:val="none"/>
          <w:u w:val="none"/>
        </w:rPr>
        <w:t>参与本项目政府采购活动时不存在被有关部门禁止参与政府采购活动且在有效期内的情况</w:t>
      </w:r>
      <w:r>
        <w:rPr>
          <w:rFonts w:hint="eastAsia" w:ascii="仿宋_GB2312" w:hAnsi="仿宋_GB2312" w:eastAsia="仿宋_GB2312" w:cs="仿宋_GB2312"/>
          <w:sz w:val="28"/>
          <w:szCs w:val="28"/>
          <w:highlight w:val="none"/>
          <w:u w:val="none"/>
          <w:lang w:eastAsia="zh-CN"/>
        </w:rPr>
        <w:t>。</w:t>
      </w:r>
      <w:r>
        <w:rPr>
          <w:rFonts w:hint="eastAsia" w:ascii="仿宋_GB2312" w:hAnsi="仿宋_GB2312" w:eastAsia="仿宋_GB2312" w:cs="仿宋_GB2312"/>
          <w:sz w:val="28"/>
          <w:szCs w:val="28"/>
        </w:rPr>
        <w:t>（由供应商在《政府采购投标及履约承诺函》中作出声明）</w:t>
      </w:r>
    </w:p>
    <w:p w14:paraId="6F755ADE">
      <w:pPr>
        <w:pStyle w:val="8"/>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textAlignment w:val="auto"/>
        <w:rPr>
          <w:rFonts w:hint="eastAsia" w:ascii="仿宋_GB2312" w:hAnsi="仿宋_GB2312" w:eastAsia="仿宋_GB2312" w:cs="仿宋_GB2312"/>
          <w:sz w:val="28"/>
          <w:szCs w:val="28"/>
          <w:highlight w:val="none"/>
          <w:u w:val="none"/>
          <w:lang w:eastAsia="zh-CN"/>
        </w:rPr>
      </w:pPr>
      <w:r>
        <w:rPr>
          <w:rFonts w:hint="eastAsia" w:ascii="仿宋_GB2312" w:hAnsi="仿宋_GB2312" w:eastAsia="仿宋_GB2312" w:cs="仿宋_GB2312"/>
          <w:sz w:val="28"/>
          <w:szCs w:val="28"/>
          <w:highlight w:val="none"/>
          <w:u w:val="none"/>
          <w:lang w:val="en-US" w:eastAsia="zh-CN"/>
        </w:rPr>
        <w:t>3.</w:t>
      </w:r>
      <w:r>
        <w:rPr>
          <w:rFonts w:hint="eastAsia" w:ascii="仿宋_GB2312" w:hAnsi="仿宋_GB2312" w:eastAsia="仿宋_GB2312" w:cs="仿宋_GB2312"/>
          <w:sz w:val="28"/>
          <w:szCs w:val="28"/>
          <w:highlight w:val="none"/>
          <w:u w:val="none"/>
        </w:rPr>
        <w:t>具备《中华人民共和国政府采购法》第二十二条的条件</w:t>
      </w:r>
      <w:r>
        <w:rPr>
          <w:rFonts w:hint="eastAsia" w:ascii="仿宋_GB2312" w:hAnsi="仿宋_GB2312" w:eastAsia="仿宋_GB2312" w:cs="仿宋_GB2312"/>
          <w:sz w:val="28"/>
          <w:szCs w:val="28"/>
          <w:highlight w:val="none"/>
          <w:u w:val="none"/>
          <w:lang w:eastAsia="zh-CN"/>
        </w:rPr>
        <w:t>。</w:t>
      </w:r>
      <w:r>
        <w:rPr>
          <w:rFonts w:hint="eastAsia" w:ascii="仿宋_GB2312" w:hAnsi="仿宋_GB2312" w:eastAsia="仿宋_GB2312" w:cs="仿宋_GB2312"/>
          <w:sz w:val="28"/>
          <w:szCs w:val="28"/>
        </w:rPr>
        <w:t>（由供应商在《政府采购投标及履约承诺函》中作出声明）</w:t>
      </w:r>
    </w:p>
    <w:p w14:paraId="301E1CE2">
      <w:pPr>
        <w:pStyle w:val="8"/>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textAlignment w:val="auto"/>
        <w:rPr>
          <w:rFonts w:hint="eastAsia" w:ascii="仿宋_GB2312" w:hAnsi="仿宋_GB2312" w:eastAsia="仿宋_GB2312" w:cs="仿宋_GB2312"/>
          <w:sz w:val="28"/>
          <w:szCs w:val="28"/>
          <w:highlight w:val="none"/>
          <w:u w:val="none"/>
          <w:lang w:eastAsia="zh-CN"/>
        </w:rPr>
      </w:pPr>
      <w:r>
        <w:rPr>
          <w:rFonts w:hint="eastAsia" w:ascii="仿宋_GB2312" w:hAnsi="仿宋_GB2312" w:eastAsia="仿宋_GB2312" w:cs="仿宋_GB2312"/>
          <w:sz w:val="28"/>
          <w:szCs w:val="28"/>
          <w:highlight w:val="none"/>
          <w:u w:val="none"/>
          <w:lang w:val="en-US" w:eastAsia="zh-CN"/>
        </w:rPr>
        <w:t>4.</w:t>
      </w:r>
      <w:r>
        <w:rPr>
          <w:rFonts w:hint="eastAsia" w:ascii="仿宋_GB2312" w:hAnsi="仿宋_GB2312" w:eastAsia="仿宋_GB2312" w:cs="仿宋_GB2312"/>
          <w:sz w:val="28"/>
          <w:szCs w:val="28"/>
          <w:highlight w:val="none"/>
          <w:u w:val="none"/>
        </w:rPr>
        <w:t>未被列入失信被执行人、重大税收违法案件当事人名单（重大税收违法失信主体）、政府采购严重违法失信行为记录名单。</w:t>
      </w:r>
      <w:r>
        <w:rPr>
          <w:rFonts w:hint="eastAsia" w:ascii="仿宋_GB2312" w:hAnsi="仿宋_GB2312" w:eastAsia="仿宋_GB2312" w:cs="仿宋_GB2312"/>
          <w:sz w:val="28"/>
          <w:szCs w:val="28"/>
        </w:rPr>
        <w:t>（由供应商在《政府采购投标及履约承诺函》中作出声明）</w:t>
      </w:r>
      <w:r>
        <w:rPr>
          <w:rFonts w:hint="eastAsia" w:ascii="仿宋_GB2312" w:hAnsi="仿宋_GB2312" w:eastAsia="仿宋_GB2312" w:cs="仿宋_GB2312"/>
          <w:sz w:val="28"/>
          <w:szCs w:val="28"/>
          <w:highlight w:val="none"/>
          <w:u w:val="none"/>
        </w:rPr>
        <w:t>注：“信用中国”“中国政府采购网”“深圳信用网”以及“深圳市政府采购监管网”为供应商信用信息的查询渠道，相关信息以开标当日的查询结果为准</w:t>
      </w:r>
      <w:r>
        <w:rPr>
          <w:rFonts w:hint="eastAsia" w:ascii="仿宋_GB2312" w:hAnsi="仿宋_GB2312" w:eastAsia="仿宋_GB2312" w:cs="仿宋_GB2312"/>
          <w:sz w:val="28"/>
          <w:szCs w:val="28"/>
          <w:highlight w:val="none"/>
          <w:u w:val="none"/>
          <w:lang w:eastAsia="zh-CN"/>
        </w:rPr>
        <w:t>。</w:t>
      </w:r>
    </w:p>
    <w:p w14:paraId="6A82B08D">
      <w:pPr>
        <w:pStyle w:val="8"/>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textAlignment w:val="auto"/>
        <w:rPr>
          <w:rFonts w:hint="eastAsia" w:ascii="仿宋_GB2312" w:hAnsi="仿宋_GB2312" w:eastAsia="仿宋_GB2312" w:cs="仿宋_GB2312"/>
          <w:sz w:val="28"/>
          <w:szCs w:val="28"/>
          <w:highlight w:val="none"/>
          <w:u w:val="none"/>
        </w:rPr>
      </w:pPr>
      <w:r>
        <w:rPr>
          <w:rFonts w:hint="eastAsia" w:ascii="仿宋_GB2312" w:hAnsi="仿宋_GB2312" w:eastAsia="仿宋_GB2312" w:cs="仿宋_GB2312"/>
          <w:sz w:val="28"/>
          <w:szCs w:val="28"/>
          <w:highlight w:val="none"/>
          <w:u w:val="none"/>
          <w:lang w:val="en-US" w:eastAsia="zh-CN"/>
        </w:rPr>
        <w:t>5.</w:t>
      </w:r>
      <w:r>
        <w:rPr>
          <w:rFonts w:hint="eastAsia" w:ascii="仿宋_GB2312" w:hAnsi="仿宋_GB2312" w:eastAsia="仿宋_GB2312" w:cs="仿宋_GB2312"/>
          <w:sz w:val="28"/>
          <w:szCs w:val="28"/>
          <w:highlight w:val="none"/>
          <w:u w:val="none"/>
        </w:rPr>
        <w:t>为采购项目提供整体设计、规范编制或者项目管理、监理、检测等服务的供应商，不得再参加该采购项目的其他采购活动。</w:t>
      </w:r>
      <w:r>
        <w:rPr>
          <w:rFonts w:hint="eastAsia" w:ascii="仿宋_GB2312" w:hAnsi="仿宋_GB2312" w:eastAsia="仿宋_GB2312" w:cs="仿宋_GB2312"/>
          <w:sz w:val="28"/>
          <w:szCs w:val="28"/>
        </w:rPr>
        <w:t>（由供应商在《政府采购投标及履约承诺函》中作出声明）</w:t>
      </w:r>
    </w:p>
    <w:p w14:paraId="0E23C605">
      <w:pPr>
        <w:pStyle w:val="8"/>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highlight w:val="none"/>
          <w:u w:val="none"/>
          <w:lang w:val="en-US" w:eastAsia="zh-CN"/>
        </w:rPr>
        <w:t>6.</w:t>
      </w:r>
      <w:r>
        <w:rPr>
          <w:rFonts w:hint="eastAsia" w:ascii="仿宋_GB2312" w:hAnsi="仿宋_GB2312" w:eastAsia="仿宋_GB2312" w:cs="仿宋_GB2312"/>
          <w:color w:val="auto"/>
          <w:sz w:val="28"/>
          <w:szCs w:val="28"/>
          <w:highlight w:val="none"/>
          <w:u w:val="none"/>
          <w:lang w:val="en-US" w:eastAsia="zh-CN"/>
        </w:rPr>
        <w:t>不同供应商的法定代表人、主要经营负责人、项目投标授权代表人、项目负责人、主要技术人员</w:t>
      </w:r>
      <w:r>
        <w:rPr>
          <w:rFonts w:hint="eastAsia" w:ascii="仿宋_GB2312" w:hAnsi="仿宋_GB2312" w:eastAsia="仿宋_GB2312" w:cs="仿宋_GB2312"/>
          <w:b w:val="0"/>
          <w:bCs w:val="0"/>
          <w:color w:val="auto"/>
          <w:sz w:val="28"/>
          <w:szCs w:val="28"/>
          <w:highlight w:val="none"/>
          <w:u w:val="none"/>
          <w:lang w:val="en-US" w:eastAsia="zh-CN"/>
        </w:rPr>
        <w:t>不得</w:t>
      </w:r>
      <w:r>
        <w:rPr>
          <w:rFonts w:hint="eastAsia" w:ascii="仿宋_GB2312" w:hAnsi="仿宋_GB2312" w:eastAsia="仿宋_GB2312" w:cs="仿宋_GB2312"/>
          <w:color w:val="auto"/>
          <w:sz w:val="28"/>
          <w:szCs w:val="28"/>
          <w:highlight w:val="none"/>
          <w:u w:val="none"/>
          <w:lang w:val="en-US" w:eastAsia="zh-CN"/>
        </w:rPr>
        <w:t>为同一人、属同一单位或者在同一单位缴纳社会保险；不同投标供应商的投标文件</w:t>
      </w:r>
      <w:r>
        <w:rPr>
          <w:rFonts w:hint="eastAsia" w:ascii="仿宋_GB2312" w:hAnsi="仿宋_GB2312" w:eastAsia="仿宋_GB2312" w:cs="仿宋_GB2312"/>
          <w:b w:val="0"/>
          <w:bCs w:val="0"/>
          <w:color w:val="auto"/>
          <w:sz w:val="28"/>
          <w:szCs w:val="28"/>
          <w:highlight w:val="none"/>
          <w:u w:val="none"/>
          <w:lang w:val="en-US" w:eastAsia="zh-CN"/>
        </w:rPr>
        <w:t>不得</w:t>
      </w:r>
      <w:r>
        <w:rPr>
          <w:rFonts w:hint="eastAsia" w:ascii="仿宋_GB2312" w:hAnsi="仿宋_GB2312" w:eastAsia="仿宋_GB2312" w:cs="仿宋_GB2312"/>
          <w:color w:val="auto"/>
          <w:sz w:val="28"/>
          <w:szCs w:val="28"/>
          <w:highlight w:val="none"/>
          <w:u w:val="none"/>
          <w:lang w:val="en-US" w:eastAsia="zh-CN"/>
        </w:rPr>
        <w:t>由同一单位或者同一人编制；单位负责人为同一人或者存在直接控股、管理关系的不同供应商，</w:t>
      </w:r>
      <w:r>
        <w:rPr>
          <w:rFonts w:hint="eastAsia" w:ascii="仿宋_GB2312" w:hAnsi="仿宋_GB2312" w:eastAsia="仿宋_GB2312" w:cs="仿宋_GB2312"/>
          <w:b w:val="0"/>
          <w:bCs w:val="0"/>
          <w:color w:val="auto"/>
          <w:sz w:val="28"/>
          <w:szCs w:val="28"/>
          <w:highlight w:val="none"/>
          <w:u w:val="none"/>
          <w:lang w:val="en-US" w:eastAsia="zh-CN"/>
        </w:rPr>
        <w:t>不得</w:t>
      </w:r>
      <w:r>
        <w:rPr>
          <w:rFonts w:hint="eastAsia" w:ascii="仿宋_GB2312" w:hAnsi="仿宋_GB2312" w:eastAsia="仿宋_GB2312" w:cs="仿宋_GB2312"/>
          <w:color w:val="auto"/>
          <w:sz w:val="28"/>
          <w:szCs w:val="28"/>
          <w:highlight w:val="none"/>
          <w:u w:val="none"/>
          <w:lang w:val="en-US" w:eastAsia="zh-CN"/>
        </w:rPr>
        <w:t>参加本项目政府采购活动。</w:t>
      </w:r>
      <w:r>
        <w:rPr>
          <w:rFonts w:hint="eastAsia" w:ascii="仿宋_GB2312" w:hAnsi="仿宋_GB2312" w:eastAsia="仿宋_GB2312" w:cs="仿宋_GB2312"/>
          <w:sz w:val="28"/>
          <w:szCs w:val="28"/>
        </w:rPr>
        <w:t>（由供应商在《政府采购投标及履约承诺函》中作出声明</w:t>
      </w:r>
      <w:r>
        <w:rPr>
          <w:rFonts w:hint="eastAsia" w:ascii="仿宋_GB2312" w:hAnsi="仿宋_GB2312" w:eastAsia="仿宋_GB2312" w:cs="仿宋_GB2312"/>
          <w:sz w:val="28"/>
          <w:szCs w:val="28"/>
          <w:lang w:val="en-US" w:eastAsia="zh-CN"/>
        </w:rPr>
        <w:t>并填写《供应商基本情况表》相关信息</w:t>
      </w:r>
      <w:r>
        <w:rPr>
          <w:rFonts w:hint="eastAsia" w:ascii="仿宋_GB2312" w:hAnsi="仿宋_GB2312" w:eastAsia="仿宋_GB2312" w:cs="仿宋_GB2312"/>
          <w:sz w:val="28"/>
          <w:szCs w:val="28"/>
        </w:rPr>
        <w:t>）</w:t>
      </w:r>
    </w:p>
    <w:p w14:paraId="52C5118C">
      <w:pPr>
        <w:pStyle w:val="8"/>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textAlignment w:val="auto"/>
        <w:rPr>
          <w:rFonts w:hint="eastAsia" w:ascii="仿宋_GB2312" w:hAnsi="仿宋_GB2312" w:eastAsia="仿宋_GB2312" w:cs="仿宋_GB2312"/>
          <w:sz w:val="28"/>
          <w:szCs w:val="28"/>
          <w:highlight w:val="none"/>
          <w:u w:val="none"/>
          <w:lang w:val="en-US" w:eastAsia="zh-CN"/>
        </w:rPr>
      </w:pPr>
      <w:r>
        <w:rPr>
          <w:rFonts w:hint="eastAsia" w:ascii="仿宋_GB2312" w:hAnsi="仿宋_GB2312" w:eastAsia="仿宋_GB2312" w:cs="仿宋_GB2312"/>
          <w:sz w:val="28"/>
          <w:szCs w:val="28"/>
          <w:lang w:val="en-US" w:eastAsia="zh-CN"/>
        </w:rPr>
        <w:t>7.</w:t>
      </w:r>
      <w:r>
        <w:rPr>
          <w:rFonts w:hint="eastAsia" w:ascii="仿宋_GB2312" w:hAnsi="仿宋_GB2312" w:eastAsia="仿宋_GB2312" w:cs="仿宋_GB2312"/>
          <w:sz w:val="28"/>
          <w:szCs w:val="28"/>
        </w:rPr>
        <w:t>投标人不存在《深圳市财政局政府采购供应商信用信息管理办法》</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深财规</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2023</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3号</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列明的严重违法失信行为</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由供应商在《政府采购投标及履约承诺函》中作出声明</w:t>
      </w:r>
      <w:r>
        <w:rPr>
          <w:rFonts w:hint="eastAsia" w:ascii="仿宋_GB2312" w:hAnsi="仿宋_GB2312" w:eastAsia="仿宋_GB2312" w:cs="仿宋_GB2312"/>
          <w:sz w:val="28"/>
          <w:szCs w:val="28"/>
          <w:lang w:eastAsia="zh-CN"/>
        </w:rPr>
        <w:t>）</w:t>
      </w:r>
    </w:p>
    <w:p w14:paraId="1F031E34">
      <w:pPr>
        <w:pStyle w:val="8"/>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textAlignment w:val="auto"/>
        <w:rPr>
          <w:rFonts w:hint="eastAsia" w:ascii="仿宋_GB2312" w:hAnsi="仿宋_GB2312" w:eastAsia="仿宋_GB2312" w:cs="仿宋_GB2312"/>
          <w:sz w:val="28"/>
          <w:szCs w:val="28"/>
          <w:highlight w:val="none"/>
          <w:u w:val="none"/>
          <w:lang w:eastAsia="zh-CN"/>
        </w:rPr>
      </w:pPr>
      <w:r>
        <w:rPr>
          <w:rFonts w:hint="eastAsia" w:ascii="仿宋_GB2312" w:hAnsi="仿宋_GB2312" w:eastAsia="仿宋_GB2312" w:cs="仿宋_GB2312"/>
          <w:sz w:val="28"/>
          <w:szCs w:val="28"/>
          <w:highlight w:val="none"/>
          <w:u w:val="none"/>
          <w:lang w:val="en-US" w:eastAsia="zh-CN"/>
        </w:rPr>
        <w:t>8.</w:t>
      </w:r>
      <w:r>
        <w:rPr>
          <w:rFonts w:hint="eastAsia" w:ascii="仿宋_GB2312" w:hAnsi="仿宋_GB2312" w:eastAsia="仿宋_GB2312" w:cs="仿宋_GB2312"/>
          <w:sz w:val="28"/>
          <w:szCs w:val="28"/>
          <w:highlight w:val="none"/>
          <w:u w:val="none"/>
          <w:lang w:eastAsia="zh-CN"/>
        </w:rPr>
        <w:t>特殊资格要求：无</w:t>
      </w:r>
    </w:p>
    <w:p w14:paraId="2B3ACED1">
      <w:pPr>
        <w:pStyle w:val="8"/>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textAlignment w:val="auto"/>
        <w:rPr>
          <w:rFonts w:hint="eastAsia" w:ascii="仿宋_GB2312" w:hAnsi="仿宋_GB2312" w:eastAsia="仿宋_GB2312" w:cs="仿宋_GB2312"/>
          <w:color w:val="FF0000"/>
          <w:sz w:val="28"/>
          <w:szCs w:val="28"/>
          <w:highlight w:val="none"/>
          <w:u w:val="none"/>
          <w:lang w:val="en-US" w:eastAsia="zh-CN"/>
        </w:rPr>
      </w:pPr>
      <w:r>
        <w:rPr>
          <w:rFonts w:hint="eastAsia" w:ascii="仿宋_GB2312" w:hAnsi="仿宋_GB2312" w:eastAsia="仿宋_GB2312" w:cs="仿宋_GB2312"/>
          <w:sz w:val="28"/>
          <w:szCs w:val="28"/>
          <w:highlight w:val="none"/>
          <w:u w:val="none"/>
          <w:lang w:val="en-US" w:eastAsia="zh-CN"/>
        </w:rPr>
        <w:t>9.不接受联合体投标</w:t>
      </w:r>
    </w:p>
    <w:p w14:paraId="6CF09577">
      <w:pPr>
        <w:pStyle w:val="8"/>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textAlignment w:val="auto"/>
        <w:rPr>
          <w:rFonts w:hint="eastAsia" w:ascii="仿宋_GB2312" w:hAnsi="仿宋_GB2312" w:eastAsia="仿宋_GB2312" w:cs="仿宋_GB2312"/>
          <w:color w:val="FF0000"/>
          <w:sz w:val="28"/>
          <w:szCs w:val="28"/>
          <w:highlight w:val="none"/>
          <w:u w:val="none"/>
          <w:lang w:val="en-US" w:eastAsia="zh-CN"/>
        </w:rPr>
      </w:pPr>
      <w:r>
        <w:rPr>
          <w:rFonts w:hint="eastAsia" w:ascii="仿宋_GB2312" w:hAnsi="仿宋_GB2312" w:eastAsia="仿宋_GB2312" w:cs="仿宋_GB2312"/>
          <w:sz w:val="28"/>
          <w:szCs w:val="28"/>
          <w:highlight w:val="none"/>
          <w:u w:val="none"/>
          <w:lang w:val="en-US" w:eastAsia="zh-CN"/>
        </w:rPr>
        <w:t>10.不允许分包</w:t>
      </w:r>
    </w:p>
    <w:p w14:paraId="2FC33800">
      <w:pPr>
        <w:pStyle w:val="8"/>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textAlignment w:val="auto"/>
        <w:rPr>
          <w:rFonts w:hint="eastAsia" w:ascii="宋体" w:hAnsi="宋体" w:cs="宋体"/>
          <w:sz w:val="28"/>
          <w:szCs w:val="28"/>
          <w:highlight w:val="none"/>
          <w:u w:val="none"/>
          <w:lang w:eastAsia="zh-CN"/>
        </w:rPr>
      </w:pPr>
      <w:r>
        <w:rPr>
          <w:rFonts w:hint="eastAsia" w:ascii="仿宋_GB2312" w:hAnsi="仿宋_GB2312" w:eastAsia="仿宋_GB2312" w:cs="仿宋_GB2312"/>
          <w:sz w:val="28"/>
          <w:szCs w:val="28"/>
          <w:highlight w:val="none"/>
          <w:u w:val="none"/>
          <w:lang w:val="en-US" w:eastAsia="zh-CN"/>
        </w:rPr>
        <w:t>11.不专门面向中小企业采购</w:t>
      </w:r>
    </w:p>
    <w:p w14:paraId="1C4B7845">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楷体_GB2312" w:hAnsi="楷体_GB2312" w:eastAsia="楷体_GB2312" w:cs="楷体_GB2312"/>
          <w:b/>
          <w:bCs/>
          <w:sz w:val="28"/>
          <w:szCs w:val="28"/>
          <w:lang w:val="en-US" w:eastAsia="zh-CN"/>
        </w:rPr>
      </w:pPr>
    </w:p>
    <w:p w14:paraId="57AB6C95">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楷体_GB2312" w:hAnsi="楷体_GB2312" w:eastAsia="楷体_GB2312" w:cs="楷体_GB2312"/>
          <w:b/>
          <w:bCs/>
          <w:sz w:val="28"/>
          <w:szCs w:val="28"/>
          <w:lang w:val="en-US" w:eastAsia="zh-CN"/>
        </w:rPr>
      </w:pPr>
      <w:r>
        <w:rPr>
          <w:rFonts w:hint="eastAsia" w:ascii="楷体_GB2312" w:hAnsi="楷体_GB2312" w:eastAsia="楷体_GB2312" w:cs="楷体_GB2312"/>
          <w:b/>
          <w:bCs/>
          <w:sz w:val="28"/>
          <w:szCs w:val="28"/>
          <w:lang w:val="en-US" w:eastAsia="zh-CN"/>
        </w:rPr>
        <w:t>（二）采购方式</w:t>
      </w:r>
    </w:p>
    <w:p w14:paraId="4A00E77C">
      <w:pPr>
        <w:pStyle w:val="8"/>
        <w:keepNext w:val="0"/>
        <w:keepLines w:val="0"/>
        <w:pageBreakBefore w:val="0"/>
        <w:widowControl w:val="0"/>
        <w:numPr>
          <w:ilvl w:val="0"/>
          <w:numId w:val="0"/>
        </w:numPr>
        <w:kinsoku/>
        <w:wordWrap/>
        <w:overflowPunct/>
        <w:topLinePunct w:val="0"/>
        <w:autoSpaceDE/>
        <w:autoSpaceDN/>
        <w:bidi w:val="0"/>
        <w:adjustRightInd/>
        <w:snapToGrid/>
        <w:spacing w:beforeLines="25" w:afterLines="25" w:line="360" w:lineRule="exact"/>
        <w:ind w:left="0" w:leftChars="0" w:firstLine="420" w:firstLineChars="150"/>
        <w:jc w:val="left"/>
        <w:textAlignment w:val="auto"/>
        <w:rPr>
          <w:rFonts w:hint="eastAsia" w:ascii="仿宋_GB2312" w:hAnsi="仿宋_GB2312" w:eastAsia="仿宋_GB2312" w:cs="仿宋_GB2312"/>
          <w:sz w:val="28"/>
          <w:szCs w:val="28"/>
          <w:highlight w:val="none"/>
          <w:u w:val="none"/>
          <w:lang w:val="en-US" w:eastAsia="zh-CN"/>
        </w:rPr>
      </w:pPr>
      <w:r>
        <w:rPr>
          <w:rFonts w:hint="eastAsia" w:ascii="仿宋_GB2312" w:hAnsi="仿宋_GB2312" w:eastAsia="仿宋_GB2312" w:cs="仿宋_GB2312"/>
          <w:sz w:val="28"/>
          <w:szCs w:val="28"/>
          <w:highlight w:val="none"/>
          <w:u w:val="none"/>
          <w:lang w:val="en-US" w:eastAsia="zh-CN"/>
        </w:rPr>
        <w:t>公开招标</w:t>
      </w:r>
    </w:p>
    <w:p w14:paraId="7BEBC7BD">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楷体_GB2312" w:hAnsi="楷体_GB2312" w:eastAsia="楷体_GB2312" w:cs="楷体_GB2312"/>
          <w:b/>
          <w:bCs/>
          <w:sz w:val="28"/>
          <w:szCs w:val="28"/>
          <w:lang w:val="en-US" w:eastAsia="zh-CN"/>
        </w:rPr>
      </w:pPr>
      <w:r>
        <w:rPr>
          <w:rFonts w:hint="eastAsia" w:ascii="楷体_GB2312" w:hAnsi="楷体_GB2312" w:eastAsia="楷体_GB2312" w:cs="楷体_GB2312"/>
          <w:b/>
          <w:bCs/>
          <w:sz w:val="28"/>
          <w:szCs w:val="28"/>
          <w:lang w:val="en-US" w:eastAsia="zh-CN"/>
        </w:rPr>
        <w:t>（三）评审方法</w:t>
      </w:r>
    </w:p>
    <w:p w14:paraId="23F40A88">
      <w:pPr>
        <w:pStyle w:val="15"/>
        <w:keepNext w:val="0"/>
        <w:keepLines w:val="0"/>
        <w:widowControl/>
        <w:suppressLineNumbers w:val="0"/>
        <w:shd w:val="clear" w:color="auto" w:fill="FFFFFF"/>
        <w:wordWrap/>
        <w:spacing w:before="0" w:beforeAutospacing="0" w:after="0" w:afterAutospacing="0" w:line="380" w:lineRule="exact"/>
        <w:ind w:left="0" w:leftChars="0" w:right="0" w:firstLine="420" w:firstLineChars="150"/>
        <w:jc w:val="left"/>
        <w:rPr>
          <w:highlight w:val="none"/>
        </w:rPr>
      </w:pPr>
      <w:r>
        <w:rPr>
          <w:rFonts w:hint="eastAsia" w:ascii="仿宋_GB2312" w:hAnsi="仿宋_GB2312" w:eastAsia="仿宋_GB2312" w:cs="仿宋_GB2312"/>
          <w:sz w:val="28"/>
          <w:szCs w:val="28"/>
          <w:highlight w:val="none"/>
          <w:u w:val="none"/>
          <w:lang w:val="en-US" w:eastAsia="zh-CN"/>
        </w:rPr>
        <w:t>综合评分法</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6C501A"/>
    <w:rsid w:val="104B5755"/>
    <w:rsid w:val="21584C46"/>
    <w:rsid w:val="2CB5406B"/>
    <w:rsid w:val="2F384BCB"/>
    <w:rsid w:val="30F07FF2"/>
    <w:rsid w:val="34A43CD1"/>
    <w:rsid w:val="3D523160"/>
    <w:rsid w:val="5C34586C"/>
    <w:rsid w:val="5E6A153A"/>
    <w:rsid w:val="62AA3D49"/>
    <w:rsid w:val="694330B3"/>
    <w:rsid w:val="716813AC"/>
    <w:rsid w:val="77961F3A"/>
    <w:rsid w:val="7FAD2A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basedOn w:val="1"/>
    <w:next w:val="1"/>
    <w:qFormat/>
    <w:uiPriority w:val="0"/>
    <w:pPr>
      <w:adjustRightInd w:val="0"/>
      <w:jc w:val="center"/>
      <w:textAlignment w:val="baseline"/>
      <w:outlineLvl w:val="1"/>
    </w:pPr>
    <w:rPr>
      <w:kern w:val="0"/>
      <w:sz w:val="24"/>
      <w:szCs w:val="20"/>
    </w:rPr>
  </w:style>
  <w:style w:type="paragraph" w:styleId="5">
    <w:name w:val="heading 3"/>
    <w:basedOn w:val="1"/>
    <w:next w:val="1"/>
    <w:qFormat/>
    <w:uiPriority w:val="0"/>
    <w:pPr>
      <w:spacing w:before="260" w:after="260" w:line="240" w:lineRule="auto"/>
      <w:outlineLvl w:val="2"/>
    </w:pPr>
    <w:rPr>
      <w:rFonts w:ascii="宋体" w:hAnsi="宋体" w:eastAsia="宋体"/>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customStyle="1" w:styleId="3">
    <w:name w:val="Quote"/>
    <w:basedOn w:val="1"/>
    <w:next w:val="1"/>
    <w:qFormat/>
    <w:uiPriority w:val="99"/>
    <w:rPr>
      <w:rFonts w:ascii="Calibri" w:hAnsi="Calibri" w:cs="Calibri"/>
      <w:i/>
      <w:iCs/>
      <w:color w:val="000000"/>
      <w:sz w:val="22"/>
      <w:szCs w:val="22"/>
    </w:rPr>
  </w:style>
  <w:style w:type="paragraph" w:styleId="7">
    <w:name w:val="table of authorities"/>
    <w:basedOn w:val="1"/>
    <w:next w:val="1"/>
    <w:qFormat/>
    <w:uiPriority w:val="0"/>
    <w:pPr>
      <w:ind w:left="420" w:leftChars="200"/>
    </w:pPr>
  </w:style>
  <w:style w:type="paragraph" w:styleId="8">
    <w:name w:val="Normal Indent"/>
    <w:basedOn w:val="1"/>
    <w:qFormat/>
    <w:uiPriority w:val="0"/>
    <w:pPr>
      <w:ind w:firstLine="420" w:firstLineChars="200"/>
    </w:pPr>
  </w:style>
  <w:style w:type="paragraph" w:styleId="9">
    <w:name w:val="annotation text"/>
    <w:basedOn w:val="1"/>
    <w:unhideWhenUsed/>
    <w:qFormat/>
    <w:uiPriority w:val="99"/>
    <w:pPr>
      <w:jc w:val="left"/>
    </w:pPr>
  </w:style>
  <w:style w:type="paragraph" w:styleId="10">
    <w:name w:val="Body Text Indent"/>
    <w:basedOn w:val="1"/>
    <w:qFormat/>
    <w:uiPriority w:val="0"/>
    <w:pPr>
      <w:ind w:firstLine="830" w:firstLineChars="352"/>
    </w:pPr>
    <w:rPr>
      <w:rFonts w:ascii="仿宋_GB2312" w:eastAsia="仿宋_GB2312"/>
      <w:sz w:val="32"/>
      <w:szCs w:val="20"/>
    </w:rPr>
  </w:style>
  <w:style w:type="paragraph" w:styleId="11">
    <w:name w:val="Plain Text"/>
    <w:basedOn w:val="1"/>
    <w:qFormat/>
    <w:uiPriority w:val="0"/>
    <w:rPr>
      <w:rFonts w:ascii="宋体" w:hAnsi="Courier New" w:eastAsia="宋体" w:cs="Courier New"/>
      <w:szCs w:val="21"/>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Body Text 2"/>
    <w:basedOn w:val="1"/>
    <w:qFormat/>
    <w:uiPriority w:val="0"/>
    <w:pPr>
      <w:spacing w:line="360" w:lineRule="auto"/>
    </w:pPr>
    <w:rPr>
      <w:sz w:val="24"/>
    </w:rPr>
  </w:style>
  <w:style w:type="paragraph" w:styleId="1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6">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7">
    <w:name w:val="Body Text First Indent 2"/>
    <w:basedOn w:val="10"/>
    <w:qFormat/>
    <w:uiPriority w:val="0"/>
    <w:pPr>
      <w:ind w:firstLine="420" w:firstLineChars="200"/>
    </w:pPr>
    <w:rPr>
      <w:rFonts w:ascii="Times New Roman" w:eastAsia="宋体"/>
      <w:sz w:val="21"/>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qFormat/>
    <w:uiPriority w:val="0"/>
    <w:rPr>
      <w:b/>
    </w:rPr>
  </w:style>
  <w:style w:type="paragraph" w:styleId="22">
    <w:name w:val="List Paragraph"/>
    <w:basedOn w:val="1"/>
    <w:qFormat/>
    <w:uiPriority w:val="34"/>
    <w:pPr>
      <w:ind w:firstLine="420" w:firstLineChars="200"/>
    </w:pPr>
  </w:style>
  <w:style w:type="paragraph" w:customStyle="1" w:styleId="23">
    <w:name w:val="列表段落1"/>
    <w:basedOn w:val="1"/>
    <w:qFormat/>
    <w:uiPriority w:val="34"/>
    <w:pPr>
      <w:ind w:firstLine="420" w:firstLineChars="200"/>
    </w:pPr>
  </w:style>
  <w:style w:type="paragraph" w:customStyle="1" w:styleId="24">
    <w:name w:val="表格文字"/>
    <w:basedOn w:val="1"/>
    <w:qFormat/>
    <w:uiPriority w:val="0"/>
    <w:pPr>
      <w:spacing w:before="25" w:after="25" w:line="240" w:lineRule="auto"/>
      <w:ind w:firstLine="0"/>
      <w:jc w:val="left"/>
    </w:pPr>
    <w:rPr>
      <w:bCs/>
      <w:spacing w:val="10"/>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7548</Words>
  <Characters>7672</Characters>
  <Lines>0</Lines>
  <Paragraphs>0</Paragraphs>
  <TotalTime>9</TotalTime>
  <ScaleCrop>false</ScaleCrop>
  <LinksUpToDate>false</LinksUpToDate>
  <CharactersWithSpaces>8241</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2025-04-02T04:00:00Z</dcterms:created>
  <dc:creator>Administrator</dc:creator>
  <cp:lastModifiedBy>LC</cp:lastModifiedBy>
  <dcterms:modified xsi:type="dcterms:W3CDTF">2026-01-21T06:30:51Z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eyJoZGlkIjoiMmFiMzVhN2I2Mjc5NTAyNTVkNTIxYzI0ZjM0ZDYzODMiLCJ1c2VySWQiOiIzNDgzMzEwNzQifQ==</vt:lpwstr>
  </property>
  <property fmtid="{D5CDD505-2E9C-101B-9397-08002B2CF9AE}" pid="4" name="ICV">
    <vt:lpwstr>BDC379741E7143FF85AB02CC998D8766_12</vt:lpwstr>
  </property>
</Properties>
</file>